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DCB3" w14:textId="77777777" w:rsidR="002F3F39" w:rsidRPr="002F3F39" w:rsidRDefault="002F3F39" w:rsidP="002F3F39">
      <w:pPr>
        <w:pStyle w:val="NoSpacing"/>
        <w:rPr>
          <w:rFonts w:ascii="Arial" w:hAnsi="Arial" w:cs="Arial"/>
          <w:b/>
          <w:bCs/>
        </w:rPr>
      </w:pPr>
      <w:r w:rsidRPr="002F3F39">
        <w:rPr>
          <w:rFonts w:ascii="Arial" w:hAnsi="Arial" w:cs="Arial"/>
          <w:b/>
          <w:bCs/>
        </w:rPr>
        <w:t>Potter v. Great Falls Ins. Co., 2020 ME 144</w:t>
      </w:r>
    </w:p>
    <w:p w14:paraId="7425A0A8" w14:textId="77777777" w:rsidR="002F3F39" w:rsidRPr="002F3F39" w:rsidRDefault="002F3F39" w:rsidP="002F3F39">
      <w:pPr>
        <w:pStyle w:val="NoSpacing"/>
        <w:rPr>
          <w:rFonts w:ascii="Arial" w:hAnsi="Arial" w:cs="Arial"/>
        </w:rPr>
      </w:pPr>
    </w:p>
    <w:p w14:paraId="629140DE" w14:textId="77777777" w:rsidR="002F3F39" w:rsidRPr="002F3F39" w:rsidRDefault="002F3F39" w:rsidP="002F3F39">
      <w:pPr>
        <w:pStyle w:val="NoSpacing"/>
        <w:rPr>
          <w:rFonts w:ascii="Arial" w:hAnsi="Arial" w:cs="Arial"/>
        </w:rPr>
      </w:pPr>
      <w:r w:rsidRPr="002F3F39">
        <w:rPr>
          <w:rFonts w:ascii="Arial" w:hAnsi="Arial" w:cs="Arial"/>
        </w:rPr>
        <w:t>POSTURE</w:t>
      </w:r>
    </w:p>
    <w:p w14:paraId="79727DF4" w14:textId="03DC3741" w:rsidR="002F3F39" w:rsidRPr="002F3F39" w:rsidRDefault="002F3F39" w:rsidP="002F3F39">
      <w:pPr>
        <w:pStyle w:val="NoSpacing"/>
        <w:rPr>
          <w:rFonts w:ascii="Arial" w:hAnsi="Arial" w:cs="Arial"/>
        </w:rPr>
      </w:pPr>
      <w:r w:rsidRPr="002F3F39">
        <w:rPr>
          <w:rFonts w:ascii="Arial" w:hAnsi="Arial" w:cs="Arial"/>
        </w:rPr>
        <w:t xml:space="preserve">ALJ found Potter was not a seaman for purposes of the Jones Act.  Appellate Division affirmed.  </w:t>
      </w:r>
      <w:r>
        <w:rPr>
          <w:rFonts w:ascii="Arial" w:hAnsi="Arial" w:cs="Arial"/>
        </w:rPr>
        <w:t xml:space="preserve">State </w:t>
      </w:r>
      <w:r w:rsidRPr="002F3F39">
        <w:rPr>
          <w:rFonts w:ascii="Arial" w:hAnsi="Arial" w:cs="Arial"/>
        </w:rPr>
        <w:t>Workers' Comp</w:t>
      </w:r>
      <w:r>
        <w:rPr>
          <w:rFonts w:ascii="Arial" w:hAnsi="Arial" w:cs="Arial"/>
        </w:rPr>
        <w:t>ensation</w:t>
      </w:r>
      <w:r w:rsidRPr="002F3F39">
        <w:rPr>
          <w:rFonts w:ascii="Arial" w:hAnsi="Arial" w:cs="Arial"/>
        </w:rPr>
        <w:t xml:space="preserve"> Board granted Potter's petition for compensation for injuries sustained in the course of her employment.  Maine Supreme Court held Appellate Division did not err by applying deferential standard of review to the ALJ's decree and affirmed decision.</w:t>
      </w:r>
    </w:p>
    <w:p w14:paraId="3856FCC4" w14:textId="77777777" w:rsidR="002F3F39" w:rsidRPr="002F3F39" w:rsidRDefault="002F3F39" w:rsidP="002F3F39">
      <w:pPr>
        <w:pStyle w:val="NoSpacing"/>
        <w:rPr>
          <w:rFonts w:ascii="Arial" w:hAnsi="Arial" w:cs="Arial"/>
        </w:rPr>
      </w:pPr>
    </w:p>
    <w:p w14:paraId="7C2BC03E" w14:textId="77777777" w:rsidR="002F3F39" w:rsidRPr="002F3F39" w:rsidRDefault="002F3F39" w:rsidP="002F3F39">
      <w:pPr>
        <w:pStyle w:val="NoSpacing"/>
        <w:rPr>
          <w:rFonts w:ascii="Arial" w:hAnsi="Arial" w:cs="Arial"/>
        </w:rPr>
      </w:pPr>
      <w:r w:rsidRPr="002F3F39">
        <w:rPr>
          <w:rFonts w:ascii="Arial" w:hAnsi="Arial" w:cs="Arial"/>
        </w:rPr>
        <w:t>FACTS</w:t>
      </w:r>
    </w:p>
    <w:p w14:paraId="1C175A96" w14:textId="2F68385C" w:rsidR="002F3F39" w:rsidRPr="002F3F39" w:rsidRDefault="002F3F39" w:rsidP="002F3F39">
      <w:pPr>
        <w:pStyle w:val="NoSpacing"/>
        <w:rPr>
          <w:rFonts w:ascii="Arial" w:hAnsi="Arial" w:cs="Arial"/>
        </w:rPr>
      </w:pPr>
      <w:r w:rsidRPr="002F3F39">
        <w:rPr>
          <w:rFonts w:ascii="Arial" w:hAnsi="Arial" w:cs="Arial"/>
        </w:rPr>
        <w:t>Potter worked as a marine technician for Cooke Aquaculture's offshore saltwater salmon farming operation.</w:t>
      </w:r>
      <w:r>
        <w:rPr>
          <w:rFonts w:ascii="Arial" w:hAnsi="Arial" w:cs="Arial"/>
        </w:rPr>
        <w:t xml:space="preserve">  Her p</w:t>
      </w:r>
      <w:r w:rsidRPr="002F3F39">
        <w:rPr>
          <w:rFonts w:ascii="Arial" w:hAnsi="Arial" w:cs="Arial"/>
        </w:rPr>
        <w:t>rimary job as a marine technician was to care for the salmon, which were raised in cages located less than one mile offshore.</w:t>
      </w:r>
      <w:r>
        <w:rPr>
          <w:rFonts w:ascii="Arial" w:hAnsi="Arial" w:cs="Arial"/>
        </w:rPr>
        <w:t xml:space="preserve">  </w:t>
      </w:r>
      <w:r w:rsidRPr="002F3F39">
        <w:rPr>
          <w:rFonts w:ascii="Arial" w:hAnsi="Arial" w:cs="Arial"/>
        </w:rPr>
        <w:t>Her duties consisted of tending, feeding, and harvesting the fish, and cleaning, maintaining, and repairing the pens and nets.</w:t>
      </w:r>
      <w:r>
        <w:rPr>
          <w:rFonts w:ascii="Arial" w:hAnsi="Arial" w:cs="Arial"/>
        </w:rPr>
        <w:t xml:space="preserve">  </w:t>
      </w:r>
      <w:r w:rsidRPr="002F3F39">
        <w:rPr>
          <w:rFonts w:ascii="Arial" w:hAnsi="Arial" w:cs="Arial"/>
        </w:rPr>
        <w:t>To do this, she had to stand for hours on pipes that bobbed up and down in the ocean.</w:t>
      </w:r>
      <w:r>
        <w:rPr>
          <w:rFonts w:ascii="Arial" w:hAnsi="Arial" w:cs="Arial"/>
        </w:rPr>
        <w:t xml:space="preserve">  In 2015 she was injured when she slipped on a pipe connected to the salmon cages and struck her knee on a hard surface.  Great Falls is the workers’ compensation insurer.</w:t>
      </w:r>
    </w:p>
    <w:p w14:paraId="46FADB2C" w14:textId="77777777" w:rsidR="002F3F39" w:rsidRPr="002F3F39" w:rsidRDefault="002F3F39" w:rsidP="002F3F39">
      <w:pPr>
        <w:pStyle w:val="NoSpacing"/>
        <w:rPr>
          <w:rFonts w:ascii="Arial" w:hAnsi="Arial" w:cs="Arial"/>
        </w:rPr>
      </w:pPr>
    </w:p>
    <w:p w14:paraId="20B7070B" w14:textId="2940ED80" w:rsidR="002F3F39" w:rsidRPr="002F3F39" w:rsidRDefault="002F3F39" w:rsidP="002F3F39">
      <w:pPr>
        <w:pStyle w:val="NoSpacing"/>
        <w:rPr>
          <w:rFonts w:ascii="Arial" w:hAnsi="Arial" w:cs="Arial"/>
        </w:rPr>
      </w:pPr>
      <w:r w:rsidRPr="002F3F39">
        <w:rPr>
          <w:rFonts w:ascii="Arial" w:hAnsi="Arial" w:cs="Arial"/>
        </w:rPr>
        <w:t>STANDARDS OF REVIEW</w:t>
      </w:r>
    </w:p>
    <w:p w14:paraId="28960598" w14:textId="73E7EBFF" w:rsidR="002F3F39" w:rsidRPr="002F3F39" w:rsidRDefault="002F3F39" w:rsidP="002F3F39">
      <w:pPr>
        <w:pStyle w:val="NoSpacing"/>
        <w:rPr>
          <w:rFonts w:ascii="Arial" w:hAnsi="Arial" w:cs="Arial"/>
          <w:i/>
          <w:iCs/>
        </w:rPr>
      </w:pPr>
      <w:r w:rsidRPr="002F3F39">
        <w:rPr>
          <w:rFonts w:ascii="Arial" w:hAnsi="Arial" w:cs="Arial"/>
          <w:i/>
          <w:iCs/>
        </w:rPr>
        <w:t>At Appellate Division</w:t>
      </w:r>
    </w:p>
    <w:p w14:paraId="1E614E78" w14:textId="00EC4FCC" w:rsidR="002F3F39" w:rsidRPr="002F3F39" w:rsidRDefault="002F3F39" w:rsidP="002F3F39">
      <w:pPr>
        <w:pStyle w:val="NoSpacing"/>
        <w:rPr>
          <w:rFonts w:ascii="Arial" w:hAnsi="Arial" w:cs="Arial"/>
        </w:rPr>
      </w:pPr>
      <w:r w:rsidRPr="002F3F39">
        <w:rPr>
          <w:rFonts w:ascii="Arial" w:hAnsi="Arial" w:cs="Arial"/>
        </w:rPr>
        <w:t xml:space="preserve">Appellate Division declined Great Falls' request to review </w:t>
      </w:r>
      <w:r>
        <w:rPr>
          <w:rFonts w:ascii="Arial" w:hAnsi="Arial" w:cs="Arial"/>
        </w:rPr>
        <w:t xml:space="preserve">the </w:t>
      </w:r>
      <w:r w:rsidRPr="002F3F39">
        <w:rPr>
          <w:rFonts w:ascii="Arial" w:hAnsi="Arial" w:cs="Arial"/>
        </w:rPr>
        <w:t xml:space="preserve">ALJ's decision </w:t>
      </w:r>
      <w:r w:rsidRPr="002F3F39">
        <w:rPr>
          <w:rFonts w:ascii="Arial" w:hAnsi="Arial" w:cs="Arial"/>
          <w:i/>
          <w:iCs/>
        </w:rPr>
        <w:t>de novo</w:t>
      </w:r>
      <w:r w:rsidRPr="002F3F39">
        <w:rPr>
          <w:rFonts w:ascii="Arial" w:hAnsi="Arial" w:cs="Arial"/>
        </w:rPr>
        <w:t xml:space="preserve"> stating that it was a mixed question of fact and law as to whether Potter was a Jones Act seaman.  As such, its review of factual findings was limited to ensuring findings were supported by competent evidence.</w:t>
      </w:r>
    </w:p>
    <w:p w14:paraId="0209B803" w14:textId="49E50F33" w:rsidR="009722F3" w:rsidRPr="002F3F39" w:rsidRDefault="002F3F39" w:rsidP="002F3F39">
      <w:pPr>
        <w:pStyle w:val="NoSpacing"/>
        <w:rPr>
          <w:rFonts w:ascii="Arial" w:hAnsi="Arial" w:cs="Arial"/>
        </w:rPr>
      </w:pPr>
      <w:r w:rsidRPr="002F3F39">
        <w:rPr>
          <w:rFonts w:ascii="Arial" w:hAnsi="Arial" w:cs="Arial"/>
        </w:rPr>
        <w:tab/>
        <w:t>Indeed, the ALJ's finding that Potter spent less than 30% of her working time in service of a vessel was supported by competent evidence.</w:t>
      </w:r>
      <w:r>
        <w:rPr>
          <w:rFonts w:ascii="Arial" w:hAnsi="Arial" w:cs="Arial"/>
        </w:rPr>
        <w:t xml:space="preserve">  </w:t>
      </w:r>
      <w:r w:rsidRPr="002F3F39">
        <w:rPr>
          <w:rFonts w:ascii="Arial" w:hAnsi="Arial" w:cs="Arial"/>
        </w:rPr>
        <w:t xml:space="preserve">Thus, </w:t>
      </w:r>
      <w:r>
        <w:rPr>
          <w:rFonts w:ascii="Arial" w:hAnsi="Arial" w:cs="Arial"/>
        </w:rPr>
        <w:t xml:space="preserve">the </w:t>
      </w:r>
      <w:r w:rsidRPr="002F3F39">
        <w:rPr>
          <w:rFonts w:ascii="Arial" w:hAnsi="Arial" w:cs="Arial"/>
        </w:rPr>
        <w:t>Appellate Division affirmed.</w:t>
      </w:r>
    </w:p>
    <w:p w14:paraId="26F45D95" w14:textId="52F43C53" w:rsidR="002F3F39" w:rsidRPr="002F3F39" w:rsidRDefault="002F3F39" w:rsidP="002F3F39">
      <w:pPr>
        <w:pStyle w:val="NoSpacing"/>
        <w:rPr>
          <w:rFonts w:ascii="Arial" w:hAnsi="Arial" w:cs="Arial"/>
          <w:i/>
          <w:iCs/>
        </w:rPr>
      </w:pPr>
      <w:r w:rsidRPr="002F3F39">
        <w:rPr>
          <w:rFonts w:ascii="Arial" w:hAnsi="Arial" w:cs="Arial"/>
          <w:i/>
          <w:iCs/>
        </w:rPr>
        <w:t>At Maine Supreme Court</w:t>
      </w:r>
    </w:p>
    <w:p w14:paraId="0CC96C56" w14:textId="0A912391" w:rsidR="002F3F39" w:rsidRPr="002F3F39" w:rsidRDefault="009722F3" w:rsidP="002F3F39">
      <w:pPr>
        <w:pStyle w:val="NoSpacing"/>
        <w:rPr>
          <w:rFonts w:ascii="Arial" w:hAnsi="Arial" w:cs="Arial"/>
        </w:rPr>
      </w:pPr>
      <w:r>
        <w:rPr>
          <w:rFonts w:ascii="Arial" w:hAnsi="Arial" w:cs="Arial"/>
        </w:rPr>
        <w:t>The Court confirmed that</w:t>
      </w:r>
      <w:r w:rsidR="002F3F39" w:rsidRPr="002F3F39">
        <w:rPr>
          <w:rFonts w:ascii="Arial" w:hAnsi="Arial" w:cs="Arial"/>
        </w:rPr>
        <w:t xml:space="preserve"> seaman status is a mixed question of law and fact.  </w:t>
      </w:r>
      <w:r>
        <w:rPr>
          <w:rFonts w:ascii="Arial" w:hAnsi="Arial" w:cs="Arial"/>
        </w:rPr>
        <w:t>Review r</w:t>
      </w:r>
      <w:r w:rsidR="002F3F39" w:rsidRPr="002F3F39">
        <w:rPr>
          <w:rFonts w:ascii="Arial" w:hAnsi="Arial" w:cs="Arial"/>
        </w:rPr>
        <w:t xml:space="preserve">equires independent review (which is not </w:t>
      </w:r>
      <w:r w:rsidR="002F3F39" w:rsidRPr="009722F3">
        <w:rPr>
          <w:rFonts w:ascii="Arial" w:hAnsi="Arial" w:cs="Arial"/>
          <w:i/>
          <w:iCs/>
        </w:rPr>
        <w:t>de novo</w:t>
      </w:r>
      <w:r w:rsidR="002F3F39" w:rsidRPr="002F3F39">
        <w:rPr>
          <w:rFonts w:ascii="Arial" w:hAnsi="Arial" w:cs="Arial"/>
        </w:rPr>
        <w:t xml:space="preserve"> review).</w:t>
      </w:r>
      <w:r>
        <w:rPr>
          <w:rFonts w:ascii="Arial" w:hAnsi="Arial" w:cs="Arial"/>
        </w:rPr>
        <w:t xml:space="preserve">  The Court</w:t>
      </w:r>
      <w:r w:rsidR="002F3F39" w:rsidRPr="002F3F39">
        <w:rPr>
          <w:rFonts w:ascii="Arial" w:hAnsi="Arial" w:cs="Arial"/>
        </w:rPr>
        <w:t xml:space="preserve"> does review </w:t>
      </w:r>
      <w:r w:rsidR="002F3F39" w:rsidRPr="009722F3">
        <w:rPr>
          <w:rFonts w:ascii="Arial" w:hAnsi="Arial" w:cs="Arial"/>
          <w:i/>
          <w:iCs/>
        </w:rPr>
        <w:t>de novo</w:t>
      </w:r>
      <w:r w:rsidR="002F3F39" w:rsidRPr="002F3F39">
        <w:rPr>
          <w:rFonts w:ascii="Arial" w:hAnsi="Arial" w:cs="Arial"/>
        </w:rPr>
        <w:t xml:space="preserve"> the application of fed</w:t>
      </w:r>
      <w:r>
        <w:rPr>
          <w:rFonts w:ascii="Arial" w:hAnsi="Arial" w:cs="Arial"/>
        </w:rPr>
        <w:t>eral</w:t>
      </w:r>
      <w:r w:rsidR="002F3F39" w:rsidRPr="002F3F39">
        <w:rPr>
          <w:rFonts w:ascii="Arial" w:hAnsi="Arial" w:cs="Arial"/>
        </w:rPr>
        <w:t xml:space="preserve"> law to the facts</w:t>
      </w:r>
      <w:r>
        <w:rPr>
          <w:rFonts w:ascii="Arial" w:hAnsi="Arial" w:cs="Arial"/>
        </w:rPr>
        <w:t xml:space="preserve"> at bar</w:t>
      </w:r>
      <w:r w:rsidR="002F3F39" w:rsidRPr="002F3F39">
        <w:rPr>
          <w:rFonts w:ascii="Arial" w:hAnsi="Arial" w:cs="Arial"/>
        </w:rPr>
        <w:t>.</w:t>
      </w:r>
    </w:p>
    <w:p w14:paraId="128B4F2A" w14:textId="21E496E7" w:rsidR="002F3F39" w:rsidRPr="002F3F39" w:rsidRDefault="002F3F39" w:rsidP="002F3F39">
      <w:pPr>
        <w:pStyle w:val="NoSpacing"/>
        <w:rPr>
          <w:rFonts w:ascii="Arial" w:hAnsi="Arial" w:cs="Arial"/>
        </w:rPr>
      </w:pPr>
      <w:r w:rsidRPr="002F3F39">
        <w:rPr>
          <w:rFonts w:ascii="Arial" w:hAnsi="Arial" w:cs="Arial"/>
        </w:rPr>
        <w:tab/>
        <w:t>In the absence of fraud, the ALJ's decision on questions of fact is final.</w:t>
      </w:r>
      <w:r w:rsidR="009722F3">
        <w:rPr>
          <w:rFonts w:ascii="Arial" w:hAnsi="Arial" w:cs="Arial"/>
        </w:rPr>
        <w:t xml:space="preserve">  The Court</w:t>
      </w:r>
      <w:r w:rsidRPr="002F3F39">
        <w:rPr>
          <w:rFonts w:ascii="Arial" w:hAnsi="Arial" w:cs="Arial"/>
        </w:rPr>
        <w:t xml:space="preserve"> applie</w:t>
      </w:r>
      <w:r w:rsidR="009722F3">
        <w:rPr>
          <w:rFonts w:ascii="Arial" w:hAnsi="Arial" w:cs="Arial"/>
        </w:rPr>
        <w:t>d the</w:t>
      </w:r>
      <w:r w:rsidRPr="002F3F39">
        <w:rPr>
          <w:rFonts w:ascii="Arial" w:hAnsi="Arial" w:cs="Arial"/>
        </w:rPr>
        <w:t xml:space="preserve"> two-part seaman status test from </w:t>
      </w:r>
      <w:proofErr w:type="spellStart"/>
      <w:r w:rsidRPr="002F3F39">
        <w:rPr>
          <w:rFonts w:ascii="Arial" w:hAnsi="Arial" w:cs="Arial"/>
          <w:i/>
          <w:iCs/>
        </w:rPr>
        <w:t>Chandris</w:t>
      </w:r>
      <w:proofErr w:type="spellEnd"/>
      <w:r w:rsidRPr="002F3F39">
        <w:rPr>
          <w:rFonts w:ascii="Arial" w:hAnsi="Arial" w:cs="Arial"/>
          <w:i/>
          <w:iCs/>
        </w:rPr>
        <w:t xml:space="preserve"> v. </w:t>
      </w:r>
      <w:proofErr w:type="spellStart"/>
      <w:r w:rsidRPr="002F3F39">
        <w:rPr>
          <w:rFonts w:ascii="Arial" w:hAnsi="Arial" w:cs="Arial"/>
          <w:i/>
          <w:iCs/>
        </w:rPr>
        <w:t>Latsis</w:t>
      </w:r>
      <w:proofErr w:type="spellEnd"/>
      <w:r w:rsidRPr="002F3F39">
        <w:rPr>
          <w:rFonts w:ascii="Arial" w:hAnsi="Arial" w:cs="Arial"/>
        </w:rPr>
        <w:t>: 1</w:t>
      </w:r>
      <w:r w:rsidRPr="009722F3">
        <w:rPr>
          <w:rFonts w:ascii="Arial" w:hAnsi="Arial" w:cs="Arial"/>
          <w:vertAlign w:val="superscript"/>
        </w:rPr>
        <w:t>st</w:t>
      </w:r>
      <w:r w:rsidR="009722F3">
        <w:rPr>
          <w:rFonts w:ascii="Arial" w:hAnsi="Arial" w:cs="Arial"/>
        </w:rPr>
        <w:t xml:space="preserve"> </w:t>
      </w:r>
      <w:r w:rsidRPr="002F3F39">
        <w:rPr>
          <w:rFonts w:ascii="Arial" w:hAnsi="Arial" w:cs="Arial"/>
        </w:rPr>
        <w:t xml:space="preserve">duties </w:t>
      </w:r>
      <w:r w:rsidR="009722F3">
        <w:rPr>
          <w:rFonts w:ascii="Arial" w:hAnsi="Arial" w:cs="Arial"/>
        </w:rPr>
        <w:t xml:space="preserve">must </w:t>
      </w:r>
      <w:r w:rsidRPr="002F3F39">
        <w:rPr>
          <w:rFonts w:ascii="Arial" w:hAnsi="Arial" w:cs="Arial"/>
        </w:rPr>
        <w:t>contribute to function of vessel; 2</w:t>
      </w:r>
      <w:r w:rsidRPr="009722F3">
        <w:rPr>
          <w:rFonts w:ascii="Arial" w:hAnsi="Arial" w:cs="Arial"/>
          <w:vertAlign w:val="superscript"/>
        </w:rPr>
        <w:t>nd</w:t>
      </w:r>
      <w:r w:rsidR="009722F3">
        <w:rPr>
          <w:rFonts w:ascii="Arial" w:hAnsi="Arial" w:cs="Arial"/>
        </w:rPr>
        <w:t xml:space="preserve"> a </w:t>
      </w:r>
      <w:r w:rsidRPr="002F3F39">
        <w:rPr>
          <w:rFonts w:ascii="Arial" w:hAnsi="Arial" w:cs="Arial"/>
        </w:rPr>
        <w:t xml:space="preserve">seaman </w:t>
      </w:r>
      <w:r w:rsidR="009722F3">
        <w:rPr>
          <w:rFonts w:ascii="Arial" w:hAnsi="Arial" w:cs="Arial"/>
        </w:rPr>
        <w:t xml:space="preserve">must have a </w:t>
      </w:r>
      <w:r w:rsidRPr="002F3F39">
        <w:rPr>
          <w:rFonts w:ascii="Arial" w:hAnsi="Arial" w:cs="Arial"/>
        </w:rPr>
        <w:t xml:space="preserve">connection to vessel in navigation.  Potter fails </w:t>
      </w:r>
      <w:r w:rsidR="009722F3">
        <w:rPr>
          <w:rFonts w:ascii="Arial" w:hAnsi="Arial" w:cs="Arial"/>
        </w:rPr>
        <w:t xml:space="preserve">the second </w:t>
      </w:r>
      <w:r w:rsidRPr="002F3F39">
        <w:rPr>
          <w:rFonts w:ascii="Arial" w:hAnsi="Arial" w:cs="Arial"/>
        </w:rPr>
        <w:t xml:space="preserve">part of </w:t>
      </w:r>
      <w:r w:rsidR="009722F3">
        <w:rPr>
          <w:rFonts w:ascii="Arial" w:hAnsi="Arial" w:cs="Arial"/>
        </w:rPr>
        <w:t xml:space="preserve">the </w:t>
      </w:r>
      <w:r w:rsidRPr="002F3F39">
        <w:rPr>
          <w:rFonts w:ascii="Arial" w:hAnsi="Arial" w:cs="Arial"/>
        </w:rPr>
        <w:t xml:space="preserve">test.  An employee who spends less than 30% of her time on or in </w:t>
      </w:r>
      <w:r w:rsidR="009722F3">
        <w:rPr>
          <w:rFonts w:ascii="Arial" w:hAnsi="Arial" w:cs="Arial"/>
        </w:rPr>
        <w:t xml:space="preserve">the </w:t>
      </w:r>
      <w:r w:rsidRPr="002F3F39">
        <w:rPr>
          <w:rFonts w:ascii="Arial" w:hAnsi="Arial" w:cs="Arial"/>
        </w:rPr>
        <w:t xml:space="preserve">service of a vessel in navigation does not qualify as a seaman.  </w:t>
      </w:r>
      <w:r w:rsidR="009722F3">
        <w:rPr>
          <w:rFonts w:ascii="Arial" w:hAnsi="Arial" w:cs="Arial"/>
        </w:rPr>
        <w:t xml:space="preserve">The </w:t>
      </w:r>
      <w:r w:rsidRPr="002F3F39">
        <w:rPr>
          <w:rFonts w:ascii="Arial" w:hAnsi="Arial" w:cs="Arial"/>
        </w:rPr>
        <w:t xml:space="preserve">ALJ found, and the record reflected, that Potter spent less than 30% of her time on a vessel.  </w:t>
      </w:r>
      <w:r w:rsidR="009722F3">
        <w:rPr>
          <w:rFonts w:ascii="Arial" w:hAnsi="Arial" w:cs="Arial"/>
        </w:rPr>
        <w:t xml:space="preserve">The </w:t>
      </w:r>
      <w:r w:rsidRPr="002F3F39">
        <w:rPr>
          <w:rFonts w:ascii="Arial" w:hAnsi="Arial" w:cs="Arial"/>
        </w:rPr>
        <w:t xml:space="preserve">Court cannot disturb this finding of fact.  </w:t>
      </w:r>
      <w:r w:rsidR="009722F3">
        <w:rPr>
          <w:rFonts w:ascii="Arial" w:hAnsi="Arial" w:cs="Arial"/>
        </w:rPr>
        <w:t>Therefore, Potter was n</w:t>
      </w:r>
      <w:r w:rsidRPr="002F3F39">
        <w:rPr>
          <w:rFonts w:ascii="Arial" w:hAnsi="Arial" w:cs="Arial"/>
        </w:rPr>
        <w:t xml:space="preserve">ot a seaman because </w:t>
      </w:r>
      <w:r w:rsidR="009722F3">
        <w:rPr>
          <w:rFonts w:ascii="Arial" w:hAnsi="Arial" w:cs="Arial"/>
        </w:rPr>
        <w:t>she did not have</w:t>
      </w:r>
      <w:r w:rsidRPr="002F3F39">
        <w:rPr>
          <w:rFonts w:ascii="Arial" w:hAnsi="Arial" w:cs="Arial"/>
        </w:rPr>
        <w:t xml:space="preserve"> </w:t>
      </w:r>
      <w:r w:rsidR="009722F3">
        <w:rPr>
          <w:rFonts w:ascii="Arial" w:hAnsi="Arial" w:cs="Arial"/>
        </w:rPr>
        <w:t xml:space="preserve">a </w:t>
      </w:r>
      <w:r w:rsidRPr="002F3F39">
        <w:rPr>
          <w:rFonts w:ascii="Arial" w:hAnsi="Arial" w:cs="Arial"/>
        </w:rPr>
        <w:t>sufficient connection with a vessel in navigation.</w:t>
      </w:r>
    </w:p>
    <w:p w14:paraId="0568C5E5" w14:textId="77777777" w:rsidR="002F3F39" w:rsidRPr="002F3F39" w:rsidRDefault="002F3F39" w:rsidP="002F3F39">
      <w:pPr>
        <w:pStyle w:val="NoSpacing"/>
        <w:rPr>
          <w:rFonts w:ascii="Arial" w:hAnsi="Arial" w:cs="Arial"/>
        </w:rPr>
      </w:pPr>
    </w:p>
    <w:p w14:paraId="1F7C882F" w14:textId="77777777" w:rsidR="002F3F39" w:rsidRPr="002F3F39" w:rsidRDefault="002F3F39" w:rsidP="002F3F39">
      <w:pPr>
        <w:pStyle w:val="NoSpacing"/>
        <w:rPr>
          <w:rFonts w:ascii="Arial" w:hAnsi="Arial" w:cs="Arial"/>
        </w:rPr>
      </w:pPr>
    </w:p>
    <w:p w14:paraId="07812A13" w14:textId="77777777" w:rsidR="002F3F39" w:rsidRPr="002F3F39" w:rsidRDefault="002F3F39" w:rsidP="002F3F39">
      <w:pPr>
        <w:pStyle w:val="NoSpacing"/>
        <w:rPr>
          <w:rFonts w:ascii="Arial" w:hAnsi="Arial" w:cs="Arial"/>
        </w:rPr>
      </w:pPr>
    </w:p>
    <w:p w14:paraId="0137DAD2" w14:textId="77777777" w:rsidR="002F3F39" w:rsidRPr="002F3F39" w:rsidRDefault="002F3F39" w:rsidP="002F3F39">
      <w:pPr>
        <w:pStyle w:val="NoSpacing"/>
        <w:rPr>
          <w:rFonts w:ascii="Arial" w:hAnsi="Arial" w:cs="Arial"/>
        </w:rPr>
      </w:pPr>
    </w:p>
    <w:p w14:paraId="56D25B71" w14:textId="597DD0AB" w:rsidR="002F3F39" w:rsidRPr="009722F3" w:rsidRDefault="002F3F39" w:rsidP="002F3F39">
      <w:pPr>
        <w:pStyle w:val="NoSpacing"/>
        <w:rPr>
          <w:rFonts w:ascii="Arial" w:hAnsi="Arial" w:cs="Arial"/>
          <w:b/>
          <w:bCs/>
        </w:rPr>
      </w:pPr>
      <w:r w:rsidRPr="009722F3">
        <w:rPr>
          <w:rFonts w:ascii="Arial" w:hAnsi="Arial" w:cs="Arial"/>
          <w:b/>
          <w:bCs/>
        </w:rPr>
        <w:t>On March 5, Coast Guard concluded its public hearing for loss of F/V SCANDIES ROSE</w:t>
      </w:r>
    </w:p>
    <w:p w14:paraId="5F0ADDE2" w14:textId="77777777" w:rsidR="002F3F39" w:rsidRPr="002F3F39" w:rsidRDefault="002F3F39" w:rsidP="002F3F39">
      <w:pPr>
        <w:pStyle w:val="NoSpacing"/>
        <w:rPr>
          <w:rFonts w:ascii="Arial" w:hAnsi="Arial" w:cs="Arial"/>
        </w:rPr>
      </w:pPr>
    </w:p>
    <w:p w14:paraId="3EEF189E" w14:textId="77777777" w:rsidR="002F3F39" w:rsidRPr="002F3F39" w:rsidRDefault="002F3F39" w:rsidP="002F3F39">
      <w:pPr>
        <w:pStyle w:val="NoSpacing"/>
        <w:rPr>
          <w:rFonts w:ascii="Arial" w:hAnsi="Arial" w:cs="Arial"/>
        </w:rPr>
      </w:pPr>
      <w:r w:rsidRPr="002F3F39">
        <w:rPr>
          <w:rFonts w:ascii="Arial" w:hAnsi="Arial" w:cs="Arial"/>
        </w:rPr>
        <w:t>Formal public hearings have concluded.  The investigation Board, composed jointly of officials from the U.S. Coast Guard and from the National Transportation Safety Board, will compile its findings into a report that will be released to the public.  The Coast Guard Commandant will review the report and release a final action memo outlining the Coast Guard's position on the Board's recommendations.</w:t>
      </w:r>
    </w:p>
    <w:p w14:paraId="7590465A" w14:textId="77777777" w:rsidR="002F3F39" w:rsidRPr="002F3F39" w:rsidRDefault="002F3F39" w:rsidP="002F3F39">
      <w:pPr>
        <w:pStyle w:val="NoSpacing"/>
        <w:rPr>
          <w:rFonts w:ascii="Arial" w:hAnsi="Arial" w:cs="Arial"/>
        </w:rPr>
      </w:pPr>
    </w:p>
    <w:p w14:paraId="3AE7EC8C" w14:textId="5FCCD762" w:rsidR="002F3F39" w:rsidRPr="002F3F39" w:rsidRDefault="002F3F39" w:rsidP="002F3F39">
      <w:pPr>
        <w:pStyle w:val="NoSpacing"/>
        <w:rPr>
          <w:rFonts w:ascii="Arial" w:hAnsi="Arial" w:cs="Arial"/>
        </w:rPr>
      </w:pPr>
      <w:r w:rsidRPr="002F3F39">
        <w:rPr>
          <w:rFonts w:ascii="Arial" w:hAnsi="Arial" w:cs="Arial"/>
        </w:rPr>
        <w:t xml:space="preserve">The SCANDIES ROSE, a </w:t>
      </w:r>
      <w:r w:rsidR="009722F3" w:rsidRPr="002F3F39">
        <w:rPr>
          <w:rFonts w:ascii="Arial" w:hAnsi="Arial" w:cs="Arial"/>
        </w:rPr>
        <w:t>130-foot</w:t>
      </w:r>
      <w:r w:rsidRPr="002F3F39">
        <w:rPr>
          <w:rFonts w:ascii="Arial" w:hAnsi="Arial" w:cs="Arial"/>
        </w:rPr>
        <w:t xml:space="preserve"> crab fishing vessel built in 1978 and operat</w:t>
      </w:r>
      <w:r w:rsidR="009722F3">
        <w:rPr>
          <w:rFonts w:ascii="Arial" w:hAnsi="Arial" w:cs="Arial"/>
        </w:rPr>
        <w:t>ed</w:t>
      </w:r>
      <w:r w:rsidRPr="002F3F39">
        <w:rPr>
          <w:rFonts w:ascii="Arial" w:hAnsi="Arial" w:cs="Arial"/>
        </w:rPr>
        <w:t xml:space="preserve"> out of Dutch Harbor, sank 170 miles southwest of Kodiak on New Year's Eve 2019.  Of seven crewmembers aboard, five were lost.  Two crew survived after donning survival suits and accessing a life raft before being located and rescued by the USCG.</w:t>
      </w:r>
    </w:p>
    <w:p w14:paraId="6E6A8874" w14:textId="77777777" w:rsidR="002F3F39" w:rsidRPr="002F3F39" w:rsidRDefault="002F3F39" w:rsidP="002F3F39">
      <w:pPr>
        <w:pStyle w:val="NoSpacing"/>
        <w:rPr>
          <w:rFonts w:ascii="Arial" w:hAnsi="Arial" w:cs="Arial"/>
        </w:rPr>
      </w:pPr>
    </w:p>
    <w:p w14:paraId="0801C2EE" w14:textId="77777777" w:rsidR="002F3F39" w:rsidRPr="002F3F39" w:rsidRDefault="002F3F39" w:rsidP="002F3F39">
      <w:pPr>
        <w:pStyle w:val="NoSpacing"/>
        <w:rPr>
          <w:rFonts w:ascii="Arial" w:hAnsi="Arial" w:cs="Arial"/>
        </w:rPr>
      </w:pPr>
      <w:r w:rsidRPr="002F3F39">
        <w:rPr>
          <w:rFonts w:ascii="Arial" w:hAnsi="Arial" w:cs="Arial"/>
        </w:rPr>
        <w:t>The Coast Guard's goal with this investigation was to improve any practice, procedure, policy, or regulation that can prevent future loss of life.</w:t>
      </w:r>
    </w:p>
    <w:p w14:paraId="469FD072" w14:textId="77777777" w:rsidR="002F3F39" w:rsidRPr="002F3F39" w:rsidRDefault="002F3F39" w:rsidP="002F3F39">
      <w:pPr>
        <w:pStyle w:val="NoSpacing"/>
        <w:rPr>
          <w:rFonts w:ascii="Arial" w:hAnsi="Arial" w:cs="Arial"/>
        </w:rPr>
      </w:pPr>
    </w:p>
    <w:p w14:paraId="7C0C70CA" w14:textId="19793A90" w:rsidR="002F3F39" w:rsidRPr="002F3F39" w:rsidRDefault="002F3F39" w:rsidP="002F3F39">
      <w:pPr>
        <w:pStyle w:val="NoSpacing"/>
        <w:rPr>
          <w:rFonts w:ascii="Arial" w:hAnsi="Arial" w:cs="Arial"/>
        </w:rPr>
      </w:pPr>
      <w:r w:rsidRPr="002F3F39">
        <w:rPr>
          <w:rFonts w:ascii="Arial" w:hAnsi="Arial" w:cs="Arial"/>
        </w:rPr>
        <w:t xml:space="preserve">The Board heard from </w:t>
      </w:r>
      <w:r w:rsidR="009722F3">
        <w:rPr>
          <w:rFonts w:ascii="Arial" w:hAnsi="Arial" w:cs="Arial"/>
        </w:rPr>
        <w:t>forty-three</w:t>
      </w:r>
      <w:r w:rsidRPr="002F3F39">
        <w:rPr>
          <w:rFonts w:ascii="Arial" w:hAnsi="Arial" w:cs="Arial"/>
        </w:rPr>
        <w:t xml:space="preserve"> witnesses who provided testimony into: </w:t>
      </w:r>
    </w:p>
    <w:p w14:paraId="044FEB40" w14:textId="77777777"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conditions prior to and at the time of the </w:t>
      </w:r>
      <w:proofErr w:type="gramStart"/>
      <w:r w:rsidRPr="002F3F39">
        <w:rPr>
          <w:rFonts w:ascii="Arial" w:hAnsi="Arial" w:cs="Arial"/>
        </w:rPr>
        <w:t>casualty;</w:t>
      </w:r>
      <w:proofErr w:type="gramEnd"/>
      <w:r w:rsidRPr="002F3F39">
        <w:rPr>
          <w:rFonts w:ascii="Arial" w:hAnsi="Arial" w:cs="Arial"/>
        </w:rPr>
        <w:t xml:space="preserve"> </w:t>
      </w:r>
    </w:p>
    <w:p w14:paraId="09009F17" w14:textId="77777777"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weather, icing, training </w:t>
      </w:r>
      <w:proofErr w:type="gramStart"/>
      <w:r w:rsidRPr="002F3F39">
        <w:rPr>
          <w:rFonts w:ascii="Arial" w:hAnsi="Arial" w:cs="Arial"/>
        </w:rPr>
        <w:t>fisheries;</w:t>
      </w:r>
      <w:proofErr w:type="gramEnd"/>
    </w:p>
    <w:p w14:paraId="77E3E89A" w14:textId="48844E8C"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the vessel's </w:t>
      </w:r>
      <w:proofErr w:type="gramStart"/>
      <w:r w:rsidRPr="002F3F39">
        <w:rPr>
          <w:rFonts w:ascii="Arial" w:hAnsi="Arial" w:cs="Arial"/>
        </w:rPr>
        <w:t>condition</w:t>
      </w:r>
      <w:r w:rsidR="009722F3">
        <w:rPr>
          <w:rFonts w:ascii="Arial" w:hAnsi="Arial" w:cs="Arial"/>
        </w:rPr>
        <w:t>;</w:t>
      </w:r>
      <w:proofErr w:type="gramEnd"/>
    </w:p>
    <w:p w14:paraId="7D5F656F" w14:textId="49B1BA19"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owner and </w:t>
      </w:r>
      <w:r w:rsidR="009722F3" w:rsidRPr="002F3F39">
        <w:rPr>
          <w:rFonts w:ascii="Arial" w:hAnsi="Arial" w:cs="Arial"/>
        </w:rPr>
        <w:t>operator</w:t>
      </w:r>
      <w:r w:rsidRPr="002F3F39">
        <w:rPr>
          <w:rFonts w:ascii="Arial" w:hAnsi="Arial" w:cs="Arial"/>
        </w:rPr>
        <w:t xml:space="preserve"> organizational structures and </w:t>
      </w:r>
      <w:proofErr w:type="gramStart"/>
      <w:r w:rsidRPr="002F3F39">
        <w:rPr>
          <w:rFonts w:ascii="Arial" w:hAnsi="Arial" w:cs="Arial"/>
        </w:rPr>
        <w:t>culture</w:t>
      </w:r>
      <w:r w:rsidR="009722F3">
        <w:rPr>
          <w:rFonts w:ascii="Arial" w:hAnsi="Arial" w:cs="Arial"/>
        </w:rPr>
        <w:t>;</w:t>
      </w:r>
      <w:proofErr w:type="gramEnd"/>
    </w:p>
    <w:p w14:paraId="4FC35F84" w14:textId="423D2ED1"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compliance record of the </w:t>
      </w:r>
      <w:proofErr w:type="gramStart"/>
      <w:r w:rsidRPr="002F3F39">
        <w:rPr>
          <w:rFonts w:ascii="Arial" w:hAnsi="Arial" w:cs="Arial"/>
        </w:rPr>
        <w:t>vessel</w:t>
      </w:r>
      <w:r w:rsidR="009722F3">
        <w:rPr>
          <w:rFonts w:ascii="Arial" w:hAnsi="Arial" w:cs="Arial"/>
        </w:rPr>
        <w:t>;</w:t>
      </w:r>
      <w:proofErr w:type="gramEnd"/>
    </w:p>
    <w:p w14:paraId="15341F1A" w14:textId="4039EAAE" w:rsidR="002F3F39" w:rsidRPr="002F3F39" w:rsidRDefault="002F3F39" w:rsidP="009722F3">
      <w:pPr>
        <w:pStyle w:val="NoSpacing"/>
        <w:numPr>
          <w:ilvl w:val="0"/>
          <w:numId w:val="1"/>
        </w:numPr>
        <w:rPr>
          <w:rFonts w:ascii="Arial" w:hAnsi="Arial" w:cs="Arial"/>
        </w:rPr>
      </w:pPr>
      <w:r w:rsidRPr="002F3F39">
        <w:rPr>
          <w:rFonts w:ascii="Arial" w:hAnsi="Arial" w:cs="Arial"/>
        </w:rPr>
        <w:t xml:space="preserve">Coast Guard </w:t>
      </w:r>
      <w:proofErr w:type="gramStart"/>
      <w:r w:rsidRPr="002F3F39">
        <w:rPr>
          <w:rFonts w:ascii="Arial" w:hAnsi="Arial" w:cs="Arial"/>
        </w:rPr>
        <w:t>policy</w:t>
      </w:r>
      <w:r w:rsidR="009722F3">
        <w:rPr>
          <w:rFonts w:ascii="Arial" w:hAnsi="Arial" w:cs="Arial"/>
        </w:rPr>
        <w:t>;</w:t>
      </w:r>
      <w:proofErr w:type="gramEnd"/>
    </w:p>
    <w:p w14:paraId="0B99DB40" w14:textId="25A49056" w:rsidR="002F3F39" w:rsidRPr="002F3F39" w:rsidRDefault="002F3F39" w:rsidP="009722F3">
      <w:pPr>
        <w:pStyle w:val="NoSpacing"/>
        <w:numPr>
          <w:ilvl w:val="0"/>
          <w:numId w:val="1"/>
        </w:numPr>
        <w:rPr>
          <w:rFonts w:ascii="Arial" w:hAnsi="Arial" w:cs="Arial"/>
        </w:rPr>
      </w:pPr>
      <w:r w:rsidRPr="002F3F39">
        <w:rPr>
          <w:rFonts w:ascii="Arial" w:hAnsi="Arial" w:cs="Arial"/>
        </w:rPr>
        <w:t>practices related to vessel design</w:t>
      </w:r>
      <w:r w:rsidR="009722F3">
        <w:rPr>
          <w:rFonts w:ascii="Arial" w:hAnsi="Arial" w:cs="Arial"/>
        </w:rPr>
        <w:t xml:space="preserve">; and </w:t>
      </w:r>
    </w:p>
    <w:p w14:paraId="287CDF92" w14:textId="29308AC9" w:rsidR="002F3F39" w:rsidRPr="002F3F39" w:rsidRDefault="002F3F39" w:rsidP="009722F3">
      <w:pPr>
        <w:pStyle w:val="NoSpacing"/>
        <w:numPr>
          <w:ilvl w:val="0"/>
          <w:numId w:val="1"/>
        </w:numPr>
        <w:rPr>
          <w:rFonts w:ascii="Arial" w:hAnsi="Arial" w:cs="Arial"/>
        </w:rPr>
      </w:pPr>
      <w:r w:rsidRPr="002F3F39">
        <w:rPr>
          <w:rFonts w:ascii="Arial" w:hAnsi="Arial" w:cs="Arial"/>
        </w:rPr>
        <w:t>engineering and inspection</w:t>
      </w:r>
      <w:r w:rsidR="009722F3">
        <w:rPr>
          <w:rFonts w:ascii="Arial" w:hAnsi="Arial" w:cs="Arial"/>
        </w:rPr>
        <w:t xml:space="preserve"> of the vessel.</w:t>
      </w:r>
    </w:p>
    <w:p w14:paraId="5999BC27" w14:textId="77777777" w:rsidR="002F3F39" w:rsidRPr="002F3F39" w:rsidRDefault="002F3F39" w:rsidP="002F3F39">
      <w:pPr>
        <w:pStyle w:val="NoSpacing"/>
        <w:rPr>
          <w:rFonts w:ascii="Arial" w:hAnsi="Arial" w:cs="Arial"/>
        </w:rPr>
      </w:pPr>
    </w:p>
    <w:p w14:paraId="79D41562" w14:textId="5AE75108" w:rsidR="002F3F39" w:rsidRPr="002F3F39" w:rsidRDefault="002F3F39" w:rsidP="002F3F39">
      <w:pPr>
        <w:pStyle w:val="NoSpacing"/>
        <w:rPr>
          <w:rFonts w:ascii="Arial" w:hAnsi="Arial" w:cs="Arial"/>
        </w:rPr>
      </w:pPr>
      <w:r w:rsidRPr="002F3F39">
        <w:rPr>
          <w:rFonts w:ascii="Arial" w:hAnsi="Arial" w:cs="Arial"/>
        </w:rPr>
        <w:t xml:space="preserve">There are 130 evidentiary exhibits </w:t>
      </w:r>
      <w:hyperlink r:id="rId5" w:history="1">
        <w:r w:rsidRPr="009722F3">
          <w:rPr>
            <w:rStyle w:val="Hyperlink"/>
            <w:rFonts w:ascii="Arial" w:hAnsi="Arial" w:cs="Arial"/>
          </w:rPr>
          <w:t>posted for public viewing</w:t>
        </w:r>
      </w:hyperlink>
      <w:r w:rsidRPr="002F3F39">
        <w:rPr>
          <w:rFonts w:ascii="Arial" w:hAnsi="Arial" w:cs="Arial"/>
        </w:rPr>
        <w:t>.</w:t>
      </w:r>
    </w:p>
    <w:p w14:paraId="58453C0C" w14:textId="49444C2E" w:rsidR="002F3F39" w:rsidRDefault="002F3F39" w:rsidP="002F3F39">
      <w:pPr>
        <w:pStyle w:val="NoSpacing"/>
        <w:rPr>
          <w:rFonts w:ascii="Arial" w:hAnsi="Arial" w:cs="Arial"/>
        </w:rPr>
      </w:pPr>
    </w:p>
    <w:p w14:paraId="5C2B61BE" w14:textId="0751987C" w:rsidR="007D75EE" w:rsidRDefault="007D75EE" w:rsidP="002F3F39">
      <w:pPr>
        <w:pStyle w:val="NoSpacing"/>
        <w:rPr>
          <w:rFonts w:ascii="Arial" w:hAnsi="Arial" w:cs="Arial"/>
        </w:rPr>
      </w:pPr>
    </w:p>
    <w:p w14:paraId="60537415" w14:textId="77777777" w:rsidR="007D75EE" w:rsidRPr="002F3F39" w:rsidRDefault="007D75EE" w:rsidP="002F3F39">
      <w:pPr>
        <w:pStyle w:val="NoSpacing"/>
        <w:rPr>
          <w:rFonts w:ascii="Arial" w:hAnsi="Arial" w:cs="Arial"/>
        </w:rPr>
      </w:pPr>
    </w:p>
    <w:p w14:paraId="731D847A" w14:textId="77777777" w:rsidR="002F3F39" w:rsidRPr="002F3F39" w:rsidRDefault="002F3F39" w:rsidP="002F3F39">
      <w:pPr>
        <w:pStyle w:val="NoSpacing"/>
        <w:rPr>
          <w:rFonts w:ascii="Arial" w:hAnsi="Arial" w:cs="Arial"/>
        </w:rPr>
      </w:pPr>
    </w:p>
    <w:p w14:paraId="4E7040A5" w14:textId="556EA205" w:rsidR="002F3F39" w:rsidRDefault="007D75EE" w:rsidP="002F3F39">
      <w:pPr>
        <w:pStyle w:val="NoSpacing"/>
        <w:rPr>
          <w:rFonts w:ascii="Arial" w:hAnsi="Arial" w:cs="Arial"/>
          <w:b/>
          <w:bCs/>
        </w:rPr>
      </w:pPr>
      <w:r w:rsidRPr="007D75EE">
        <w:rPr>
          <w:rFonts w:ascii="Arial" w:hAnsi="Arial" w:cs="Arial"/>
          <w:b/>
          <w:bCs/>
        </w:rPr>
        <w:t>NOAA and USAID join forces to help nations combat illegal fishing practices</w:t>
      </w:r>
    </w:p>
    <w:p w14:paraId="104A7741" w14:textId="77777777" w:rsidR="007D75EE" w:rsidRPr="007D75EE" w:rsidRDefault="007D75EE" w:rsidP="002F3F39">
      <w:pPr>
        <w:pStyle w:val="NoSpacing"/>
        <w:rPr>
          <w:rFonts w:ascii="Arial" w:hAnsi="Arial" w:cs="Arial"/>
          <w:b/>
          <w:bCs/>
        </w:rPr>
      </w:pPr>
    </w:p>
    <w:p w14:paraId="436CCB63" w14:textId="76392B48" w:rsidR="002F3F39" w:rsidRPr="002F3F39" w:rsidRDefault="007D75EE" w:rsidP="002F3F39">
      <w:pPr>
        <w:pStyle w:val="NoSpacing"/>
        <w:rPr>
          <w:rFonts w:ascii="Arial" w:hAnsi="Arial" w:cs="Arial"/>
        </w:rPr>
      </w:pPr>
      <w:r>
        <w:rPr>
          <w:rFonts w:ascii="Arial" w:hAnsi="Arial" w:cs="Arial"/>
        </w:rPr>
        <w:t>The National Oceanic and Atmospheric Administration</w:t>
      </w:r>
      <w:r w:rsidR="002F3F39" w:rsidRPr="002F3F39">
        <w:rPr>
          <w:rFonts w:ascii="Arial" w:hAnsi="Arial" w:cs="Arial"/>
        </w:rPr>
        <w:t xml:space="preserve"> </w:t>
      </w:r>
      <w:proofErr w:type="gramStart"/>
      <w:r w:rsidR="002F3F39" w:rsidRPr="002F3F39">
        <w:rPr>
          <w:rFonts w:ascii="Arial" w:hAnsi="Arial" w:cs="Arial"/>
        </w:rPr>
        <w:t>entered into</w:t>
      </w:r>
      <w:proofErr w:type="gramEnd"/>
      <w:r w:rsidR="002F3F39" w:rsidRPr="002F3F39">
        <w:rPr>
          <w:rFonts w:ascii="Arial" w:hAnsi="Arial" w:cs="Arial"/>
        </w:rPr>
        <w:t xml:space="preserve"> a memorandum of understanding with the U.S. Agency for International Development to combat illegal, unreported, and unregulated fishing across borders and to promote sustainable fisheries abroad.  Specifically, through the agreement these two agencies plan to:</w:t>
      </w:r>
    </w:p>
    <w:p w14:paraId="3FC37FD0" w14:textId="35FDA345" w:rsidR="002F3F39" w:rsidRPr="002F3F39" w:rsidRDefault="002F3F39" w:rsidP="007D75EE">
      <w:pPr>
        <w:pStyle w:val="NoSpacing"/>
        <w:numPr>
          <w:ilvl w:val="0"/>
          <w:numId w:val="3"/>
        </w:numPr>
        <w:rPr>
          <w:rFonts w:ascii="Arial" w:hAnsi="Arial" w:cs="Arial"/>
        </w:rPr>
      </w:pPr>
      <w:r w:rsidRPr="002F3F39">
        <w:rPr>
          <w:rFonts w:ascii="Arial" w:hAnsi="Arial" w:cs="Arial"/>
        </w:rPr>
        <w:t xml:space="preserve">support developing countries as they strengthen their own assessment, monitoring, and enforcement </w:t>
      </w:r>
      <w:proofErr w:type="gramStart"/>
      <w:r w:rsidRPr="002F3F39">
        <w:rPr>
          <w:rFonts w:ascii="Arial" w:hAnsi="Arial" w:cs="Arial"/>
        </w:rPr>
        <w:t>capabilities;</w:t>
      </w:r>
      <w:proofErr w:type="gramEnd"/>
    </w:p>
    <w:p w14:paraId="4A0B2927" w14:textId="7C0C66D9" w:rsidR="002F3F39" w:rsidRPr="002F3F39" w:rsidRDefault="002F3F39" w:rsidP="007D75EE">
      <w:pPr>
        <w:pStyle w:val="NoSpacing"/>
        <w:numPr>
          <w:ilvl w:val="0"/>
          <w:numId w:val="3"/>
        </w:numPr>
        <w:rPr>
          <w:rFonts w:ascii="Arial" w:hAnsi="Arial" w:cs="Arial"/>
        </w:rPr>
      </w:pPr>
      <w:r w:rsidRPr="002F3F39">
        <w:rPr>
          <w:rFonts w:ascii="Arial" w:hAnsi="Arial" w:cs="Arial"/>
        </w:rPr>
        <w:t>promote innovations in combating IUU fishing through alliances with other governments and the private sector; and</w:t>
      </w:r>
    </w:p>
    <w:p w14:paraId="42E22E1A" w14:textId="02D27CB6" w:rsidR="002B210D" w:rsidRPr="002F3F39" w:rsidRDefault="002F3F39" w:rsidP="007D75EE">
      <w:pPr>
        <w:pStyle w:val="NoSpacing"/>
        <w:numPr>
          <w:ilvl w:val="0"/>
          <w:numId w:val="3"/>
        </w:numPr>
        <w:rPr>
          <w:rFonts w:ascii="Arial" w:hAnsi="Arial" w:cs="Arial"/>
        </w:rPr>
      </w:pPr>
      <w:r w:rsidRPr="002F3F39">
        <w:rPr>
          <w:rFonts w:ascii="Arial" w:hAnsi="Arial" w:cs="Arial"/>
        </w:rPr>
        <w:t>increase incentives for compliance and consequences for violating fisheries rules.</w:t>
      </w:r>
    </w:p>
    <w:sectPr w:rsidR="002B210D" w:rsidRPr="002F3F39" w:rsidSect="00983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1848"/>
    <w:multiLevelType w:val="hybridMultilevel"/>
    <w:tmpl w:val="5DA4D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647AF"/>
    <w:multiLevelType w:val="hybridMultilevel"/>
    <w:tmpl w:val="92AA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C2363"/>
    <w:multiLevelType w:val="hybridMultilevel"/>
    <w:tmpl w:val="CE3E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39"/>
    <w:rsid w:val="002B210D"/>
    <w:rsid w:val="002F3F39"/>
    <w:rsid w:val="007D75EE"/>
    <w:rsid w:val="009722F3"/>
    <w:rsid w:val="00983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C6D0"/>
  <w15:chartTrackingRefBased/>
  <w15:docId w15:val="{7F1F2F17-8D7B-4EAB-AC7D-DC3E50BA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F39"/>
    <w:pPr>
      <w:spacing w:after="0" w:line="240" w:lineRule="auto"/>
    </w:pPr>
  </w:style>
  <w:style w:type="character" w:styleId="Hyperlink">
    <w:name w:val="Hyperlink"/>
    <w:basedOn w:val="DefaultParagraphFont"/>
    <w:uiPriority w:val="99"/>
    <w:unhideWhenUsed/>
    <w:rsid w:val="009722F3"/>
    <w:rPr>
      <w:color w:val="0563C1" w:themeColor="hyperlink"/>
      <w:u w:val="single"/>
    </w:rPr>
  </w:style>
  <w:style w:type="character" w:styleId="UnresolvedMention">
    <w:name w:val="Unresolved Mention"/>
    <w:basedOn w:val="DefaultParagraphFont"/>
    <w:uiPriority w:val="99"/>
    <w:semiHidden/>
    <w:unhideWhenUsed/>
    <w:rsid w:val="00972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s.uscg.mil/news-by-region/headquarters/scandies-ro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Beaumont</dc:creator>
  <cp:keywords/>
  <dc:description/>
  <cp:lastModifiedBy>Rick Beaumont</cp:lastModifiedBy>
  <cp:revision>1</cp:revision>
  <dcterms:created xsi:type="dcterms:W3CDTF">2021-05-03T20:35:00Z</dcterms:created>
  <dcterms:modified xsi:type="dcterms:W3CDTF">2021-05-03T21:01:00Z</dcterms:modified>
</cp:coreProperties>
</file>