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4B7C" w14:textId="77777777" w:rsidR="000723EB" w:rsidRDefault="00A470C6" w:rsidP="00A470C6">
      <w:pPr>
        <w:jc w:val="center"/>
        <w:rPr>
          <w:rFonts w:ascii="Bookman Old Style" w:hAnsi="Bookman Old Style"/>
          <w:sz w:val="28"/>
          <w:szCs w:val="28"/>
        </w:rPr>
      </w:pPr>
      <w:r w:rsidRPr="000723EB">
        <w:rPr>
          <w:rFonts w:ascii="Bookman Old Style" w:hAnsi="Bookman Old Style"/>
          <w:sz w:val="28"/>
          <w:szCs w:val="28"/>
        </w:rPr>
        <w:t>Jones Act Considerations for the Development of</w:t>
      </w:r>
    </w:p>
    <w:p w14:paraId="549DF37E" w14:textId="5D66D76D" w:rsidR="00ED70F7" w:rsidRPr="000723EB" w:rsidRDefault="00A470C6" w:rsidP="00A470C6">
      <w:pPr>
        <w:jc w:val="center"/>
        <w:rPr>
          <w:rFonts w:ascii="Bookman Old Style" w:hAnsi="Bookman Old Style"/>
          <w:sz w:val="28"/>
          <w:szCs w:val="28"/>
        </w:rPr>
      </w:pPr>
      <w:r w:rsidRPr="000723EB">
        <w:rPr>
          <w:rFonts w:ascii="Bookman Old Style" w:hAnsi="Bookman Old Style"/>
          <w:sz w:val="28"/>
          <w:szCs w:val="28"/>
        </w:rPr>
        <w:t xml:space="preserve"> Offshore Wind Farms</w:t>
      </w:r>
    </w:p>
    <w:p w14:paraId="242A7C48" w14:textId="0CEEAA74" w:rsidR="00A470C6" w:rsidRPr="00A64D49" w:rsidRDefault="00A470C6" w:rsidP="00A470C6">
      <w:pPr>
        <w:jc w:val="center"/>
        <w:rPr>
          <w:rFonts w:ascii="Bookman Old Style" w:hAnsi="Bookman Old Style"/>
        </w:rPr>
      </w:pPr>
    </w:p>
    <w:p w14:paraId="3B0DE4E1" w14:textId="44D4AA04" w:rsidR="00A470C6" w:rsidRPr="00A64D49" w:rsidRDefault="00A470C6" w:rsidP="00A470C6">
      <w:pPr>
        <w:jc w:val="center"/>
        <w:rPr>
          <w:rFonts w:ascii="Bookman Old Style" w:hAnsi="Bookman Old Style"/>
        </w:rPr>
      </w:pPr>
      <w:r w:rsidRPr="00A64D49">
        <w:rPr>
          <w:rFonts w:ascii="Bookman Old Style" w:hAnsi="Bookman Old Style"/>
        </w:rPr>
        <w:t>November 4, 2021</w:t>
      </w:r>
    </w:p>
    <w:p w14:paraId="2D8B2C3A" w14:textId="4F2C7F91" w:rsidR="00A470C6" w:rsidRPr="00A64D49" w:rsidRDefault="00A470C6" w:rsidP="00A470C6">
      <w:pPr>
        <w:jc w:val="center"/>
        <w:rPr>
          <w:rFonts w:ascii="Bookman Old Style" w:hAnsi="Bookman Old Style"/>
        </w:rPr>
      </w:pPr>
    </w:p>
    <w:p w14:paraId="7926B6FD" w14:textId="089A721E" w:rsidR="00A470C6" w:rsidRPr="00A64D49" w:rsidRDefault="00A64D49" w:rsidP="00A470C6">
      <w:pPr>
        <w:jc w:val="center"/>
        <w:rPr>
          <w:rFonts w:ascii="Bookman Old Style" w:hAnsi="Bookman Old Style"/>
        </w:rPr>
      </w:pPr>
      <w:r w:rsidRPr="00A64D49">
        <w:rPr>
          <w:rFonts w:ascii="Bookman Old Style" w:hAnsi="Bookman Old Style"/>
        </w:rPr>
        <w:t>Charlie Papavizas, Winston &amp; Strawn LLP</w:t>
      </w:r>
    </w:p>
    <w:p w14:paraId="2818AF42" w14:textId="3C94F588" w:rsidR="00A64D49" w:rsidRPr="00A64D49" w:rsidRDefault="00641528" w:rsidP="00A470C6">
      <w:pPr>
        <w:jc w:val="center"/>
        <w:rPr>
          <w:rFonts w:ascii="Bookman Old Style" w:hAnsi="Bookman Old Style"/>
        </w:rPr>
      </w:pPr>
      <w:hyperlink r:id="rId7" w:history="1">
        <w:r w:rsidR="00A64D49" w:rsidRPr="00A64D49">
          <w:rPr>
            <w:rStyle w:val="Hyperlink"/>
            <w:rFonts w:ascii="Bookman Old Style" w:hAnsi="Bookman Old Style"/>
          </w:rPr>
          <w:t>cpapavizas@winston.com</w:t>
        </w:r>
      </w:hyperlink>
    </w:p>
    <w:p w14:paraId="161D6101" w14:textId="399C28EA" w:rsidR="00A64D49" w:rsidRPr="00A64D49" w:rsidRDefault="00A64D49" w:rsidP="00A470C6">
      <w:pPr>
        <w:jc w:val="center"/>
        <w:rPr>
          <w:rFonts w:ascii="Bookman Old Style" w:hAnsi="Bookman Old Style"/>
        </w:rPr>
      </w:pPr>
    </w:p>
    <w:p w14:paraId="36DA6FED" w14:textId="7504A58B" w:rsidR="00A64D49" w:rsidRPr="00A64D49" w:rsidRDefault="00A64D49" w:rsidP="00A470C6">
      <w:pPr>
        <w:jc w:val="center"/>
        <w:rPr>
          <w:rFonts w:ascii="Bookman Old Style" w:hAnsi="Bookman Old Style"/>
        </w:rPr>
      </w:pPr>
    </w:p>
    <w:p w14:paraId="4E4FCC84" w14:textId="5723E292" w:rsidR="00A64D49" w:rsidRPr="000723EB" w:rsidRDefault="00A64D49" w:rsidP="00A64D49">
      <w:pPr>
        <w:pStyle w:val="ListParagraph"/>
        <w:numPr>
          <w:ilvl w:val="0"/>
          <w:numId w:val="11"/>
        </w:numPr>
        <w:ind w:left="720"/>
        <w:jc w:val="both"/>
        <w:rPr>
          <w:rFonts w:ascii="Bookman Old Style" w:hAnsi="Bookman Old Style"/>
          <w:u w:val="single"/>
        </w:rPr>
      </w:pPr>
      <w:r w:rsidRPr="000723EB">
        <w:rPr>
          <w:rFonts w:ascii="Bookman Old Style" w:hAnsi="Bookman Old Style"/>
          <w:u w:val="single"/>
        </w:rPr>
        <w:t>Jones Act Basics</w:t>
      </w:r>
    </w:p>
    <w:p w14:paraId="16B7CEF6" w14:textId="3587E308" w:rsidR="00A64D49" w:rsidRDefault="00A64D49" w:rsidP="00A64D49">
      <w:pPr>
        <w:jc w:val="both"/>
        <w:rPr>
          <w:rFonts w:ascii="Bookman Old Style" w:hAnsi="Bookman Old Style"/>
        </w:rPr>
      </w:pPr>
    </w:p>
    <w:p w14:paraId="391D8C10" w14:textId="2C16000B" w:rsidR="00A64D49" w:rsidRDefault="00A64D49" w:rsidP="00A64D49">
      <w:pPr>
        <w:pStyle w:val="ListParagraph"/>
        <w:numPr>
          <w:ilvl w:val="0"/>
          <w:numId w:val="12"/>
        </w:numPr>
        <w:ind w:left="1440" w:hanging="810"/>
        <w:jc w:val="both"/>
        <w:rPr>
          <w:rFonts w:ascii="Bookman Old Style" w:hAnsi="Bookman Old Style"/>
        </w:rPr>
      </w:pPr>
      <w:r>
        <w:rPr>
          <w:rFonts w:ascii="Bookman Old Style" w:hAnsi="Bookman Old Style"/>
        </w:rPr>
        <w:t>History</w:t>
      </w:r>
    </w:p>
    <w:p w14:paraId="630C79FD" w14:textId="1AAE49A9" w:rsidR="00A64D49" w:rsidRDefault="00A64D49" w:rsidP="00A64D49">
      <w:pPr>
        <w:jc w:val="both"/>
        <w:rPr>
          <w:rFonts w:ascii="Bookman Old Style" w:hAnsi="Bookman Old Style"/>
        </w:rPr>
      </w:pPr>
    </w:p>
    <w:p w14:paraId="5E0FE40E" w14:textId="60EA4104" w:rsidR="00005633" w:rsidRDefault="00A64D49" w:rsidP="00A64D49">
      <w:pPr>
        <w:jc w:val="both"/>
        <w:rPr>
          <w:rFonts w:ascii="Bookman Old Style" w:hAnsi="Bookman Old Style"/>
        </w:rPr>
      </w:pPr>
      <w:r>
        <w:rPr>
          <w:rFonts w:ascii="Bookman Old Style" w:hAnsi="Bookman Old Style"/>
        </w:rPr>
        <w:tab/>
        <w:t xml:space="preserve">The </w:t>
      </w:r>
      <w:r w:rsidRPr="00A64D49">
        <w:rPr>
          <w:rFonts w:ascii="Bookman Old Style" w:hAnsi="Bookman Old Style"/>
        </w:rPr>
        <w:t>United States has restricted its domestic maritime commerce in merchandise since 1789</w:t>
      </w:r>
      <w:r>
        <w:rPr>
          <w:rFonts w:ascii="Bookman Old Style" w:hAnsi="Bookman Old Style"/>
        </w:rPr>
        <w:t xml:space="preserve">.  </w:t>
      </w:r>
      <w:r w:rsidR="00005633">
        <w:rPr>
          <w:rFonts w:ascii="Bookman Old Style" w:hAnsi="Bookman Old Style"/>
        </w:rPr>
        <w:t xml:space="preserve">In its third Act, even before it enacted a system of vessel registration or established any department of the Government, the first U.S. Congress enacted “An Act Imposing Duties on Tonnage” which preferred American-owned vessels to foreign vessels.  1 Stat. </w:t>
      </w:r>
      <w:r w:rsidR="0031599F">
        <w:rPr>
          <w:rFonts w:ascii="Bookman Old Style" w:hAnsi="Bookman Old Style"/>
        </w:rPr>
        <w:t>27</w:t>
      </w:r>
      <w:r w:rsidR="00005633">
        <w:rPr>
          <w:rFonts w:ascii="Bookman Old Style" w:hAnsi="Bookman Old Style"/>
        </w:rPr>
        <w:t xml:space="preserve"> (1789).  </w:t>
      </w:r>
    </w:p>
    <w:p w14:paraId="5D09F938" w14:textId="77777777" w:rsidR="00005633" w:rsidRDefault="00005633" w:rsidP="00A64D49">
      <w:pPr>
        <w:jc w:val="both"/>
        <w:rPr>
          <w:rFonts w:ascii="Bookman Old Style" w:hAnsi="Bookman Old Style"/>
        </w:rPr>
      </w:pPr>
    </w:p>
    <w:p w14:paraId="0D726912" w14:textId="38AB870C" w:rsidR="00005633" w:rsidRDefault="00005633" w:rsidP="00A64D49">
      <w:pPr>
        <w:jc w:val="both"/>
        <w:rPr>
          <w:rFonts w:ascii="Bookman Old Style" w:hAnsi="Bookman Old Style"/>
        </w:rPr>
      </w:pPr>
      <w:r>
        <w:rPr>
          <w:rFonts w:ascii="Bookman Old Style" w:hAnsi="Bookman Old Style"/>
        </w:rPr>
        <w:tab/>
        <w:t xml:space="preserve">In 1817 the U.S. adopted </w:t>
      </w:r>
      <w:r w:rsidR="00A64D49" w:rsidRPr="00A64D49">
        <w:rPr>
          <w:rFonts w:ascii="Bookman Old Style" w:hAnsi="Bookman Old Style"/>
        </w:rPr>
        <w:t>an outright reservation</w:t>
      </w:r>
      <w:r>
        <w:rPr>
          <w:rFonts w:ascii="Bookman Old Style" w:hAnsi="Bookman Old Style"/>
        </w:rPr>
        <w:t xml:space="preserve"> to American-owned vessels which is the more direct predecessor to current U.S. cabotage laws reserving U.S. domestic trade to qualified U.S.-flag vessels.  </w:t>
      </w:r>
      <w:r w:rsidR="0031599F">
        <w:rPr>
          <w:rFonts w:ascii="Bookman Old Style" w:hAnsi="Bookman Old Style"/>
        </w:rPr>
        <w:t xml:space="preserve">3 Stat. 351 (1817).  That law prohibited the transportation of “merchandise” which was “imported” “from one port of the United States to another port of the United States” “in a vessel belonging wholly or in part to a subject of any foreign power.”  Notably, it was not until 1898 that this restriction was revised to exclude </w:t>
      </w:r>
      <w:r w:rsidR="0031599F">
        <w:rPr>
          <w:rFonts w:ascii="Bookman Old Style" w:hAnsi="Bookman Old Style"/>
          <w:i/>
          <w:iCs/>
        </w:rPr>
        <w:t xml:space="preserve">foreign-registered </w:t>
      </w:r>
      <w:r w:rsidR="0031599F">
        <w:rPr>
          <w:rFonts w:ascii="Bookman Old Style" w:hAnsi="Bookman Old Style"/>
        </w:rPr>
        <w:t xml:space="preserve">vessels from </w:t>
      </w:r>
      <w:r w:rsidR="00B87256">
        <w:rPr>
          <w:rFonts w:ascii="Bookman Old Style" w:hAnsi="Bookman Old Style"/>
        </w:rPr>
        <w:t xml:space="preserve">the </w:t>
      </w:r>
      <w:r w:rsidR="0031599F">
        <w:rPr>
          <w:rFonts w:ascii="Bookman Old Style" w:hAnsi="Bookman Old Style"/>
        </w:rPr>
        <w:t>U.S. domestic trade.</w:t>
      </w:r>
    </w:p>
    <w:p w14:paraId="0C701A08" w14:textId="43A34F17" w:rsidR="0031599F" w:rsidRDefault="0031599F" w:rsidP="00A64D49">
      <w:pPr>
        <w:jc w:val="both"/>
        <w:rPr>
          <w:rFonts w:ascii="Bookman Old Style" w:hAnsi="Bookman Old Style"/>
        </w:rPr>
      </w:pPr>
    </w:p>
    <w:p w14:paraId="6B1E094F" w14:textId="2FD7E885" w:rsidR="0031599F" w:rsidRDefault="0031599F" w:rsidP="00A64D49">
      <w:pPr>
        <w:jc w:val="both"/>
        <w:rPr>
          <w:rFonts w:ascii="Bookman Old Style" w:hAnsi="Bookman Old Style"/>
        </w:rPr>
      </w:pPr>
      <w:r>
        <w:rPr>
          <w:rFonts w:ascii="Bookman Old Style" w:hAnsi="Bookman Old Style"/>
        </w:rPr>
        <w:tab/>
        <w:t>Over time the 1817 Act was refined</w:t>
      </w:r>
      <w:r w:rsidR="00915285">
        <w:rPr>
          <w:rFonts w:ascii="Bookman Old Style" w:hAnsi="Bookman Old Style"/>
        </w:rPr>
        <w:t>,</w:t>
      </w:r>
      <w:r>
        <w:rPr>
          <w:rFonts w:ascii="Bookman Old Style" w:hAnsi="Bookman Old Style"/>
        </w:rPr>
        <w:t xml:space="preserve"> and the reservation principle embodied in the act was expanded to cover “passengers,” “towing” and “dredging”</w:t>
      </w:r>
      <w:r w:rsidR="00915285">
        <w:rPr>
          <w:rFonts w:ascii="Bookman Old Style" w:hAnsi="Bookman Old Style"/>
        </w:rPr>
        <w:t xml:space="preserve"> between U.S. ports in U.S. waters.</w:t>
      </w:r>
      <w:r>
        <w:rPr>
          <w:rStyle w:val="FootnoteReference"/>
          <w:rFonts w:ascii="Bookman Old Style" w:hAnsi="Bookman Old Style"/>
        </w:rPr>
        <w:footnoteReference w:id="1"/>
      </w:r>
      <w:r>
        <w:rPr>
          <w:rFonts w:ascii="Bookman Old Style" w:hAnsi="Bookman Old Style"/>
        </w:rPr>
        <w:t xml:space="preserve">  </w:t>
      </w:r>
      <w:r w:rsidR="009B2B72">
        <w:rPr>
          <w:rFonts w:ascii="Bookman Old Style" w:hAnsi="Bookman Old Style"/>
        </w:rPr>
        <w:t xml:space="preserve">For example, the 1817 Act was restated and modified in 1898 to cover “any part of the voyage.”  27 Stat. 248 (1898).  That restatement was interpreted by U.S. Attorney General George W. Wickersham in 1913 not to apply to mixed land and water transportation.  30 </w:t>
      </w:r>
      <w:r w:rsidR="009B2B72" w:rsidRPr="009B2B72">
        <w:rPr>
          <w:rFonts w:ascii="Bookman Old Style" w:hAnsi="Bookman Old Style"/>
          <w:i/>
          <w:iCs/>
        </w:rPr>
        <w:t xml:space="preserve">Op. </w:t>
      </w:r>
      <w:proofErr w:type="spellStart"/>
      <w:r w:rsidR="009B2B72" w:rsidRPr="009B2B72">
        <w:rPr>
          <w:rFonts w:ascii="Bookman Old Style" w:hAnsi="Bookman Old Style"/>
          <w:i/>
          <w:iCs/>
        </w:rPr>
        <w:t>Att’y</w:t>
      </w:r>
      <w:proofErr w:type="spellEnd"/>
      <w:r w:rsidR="009B2B72" w:rsidRPr="009B2B72">
        <w:rPr>
          <w:rFonts w:ascii="Bookman Old Style" w:hAnsi="Bookman Old Style"/>
          <w:i/>
          <w:iCs/>
        </w:rPr>
        <w:t xml:space="preserve"> Gen. </w:t>
      </w:r>
      <w:r w:rsidR="009B2B72">
        <w:rPr>
          <w:rFonts w:ascii="Bookman Old Style" w:hAnsi="Bookman Old Style"/>
        </w:rPr>
        <w:t>8-9 (1913).</w:t>
      </w:r>
    </w:p>
    <w:p w14:paraId="26C9B0DB" w14:textId="48ADE0AB" w:rsidR="009B2B72" w:rsidRDefault="009B2B72" w:rsidP="00A64D49">
      <w:pPr>
        <w:jc w:val="both"/>
        <w:rPr>
          <w:rFonts w:ascii="Bookman Old Style" w:hAnsi="Bookman Old Style"/>
        </w:rPr>
      </w:pPr>
    </w:p>
    <w:p w14:paraId="663C0CC3" w14:textId="6281708F" w:rsidR="00A64D49" w:rsidRDefault="009B2B72" w:rsidP="00A64D49">
      <w:pPr>
        <w:jc w:val="both"/>
        <w:rPr>
          <w:rFonts w:ascii="Bookman Old Style" w:hAnsi="Bookman Old Style"/>
        </w:rPr>
      </w:pPr>
      <w:r>
        <w:rPr>
          <w:rFonts w:ascii="Bookman Old Style" w:hAnsi="Bookman Old Style"/>
        </w:rPr>
        <w:tab/>
      </w:r>
      <w:r w:rsidR="0070182F">
        <w:rPr>
          <w:rFonts w:ascii="Bookman Old Style" w:hAnsi="Bookman Old Style"/>
        </w:rPr>
        <w:t xml:space="preserve">A section of the Merchant Marine Act, 1920, shepherded through the U.S. Senate by Sen. Wesley Livsey Jones (R-WA) </w:t>
      </w:r>
      <w:r w:rsidR="00896E3C">
        <w:rPr>
          <w:rFonts w:ascii="Bookman Old Style" w:hAnsi="Bookman Old Style"/>
        </w:rPr>
        <w:t>who was</w:t>
      </w:r>
      <w:r w:rsidR="0070182F">
        <w:rPr>
          <w:rFonts w:ascii="Bookman Old Style" w:hAnsi="Bookman Old Style"/>
        </w:rPr>
        <w:t xml:space="preserve"> then Chairman of the Commerce Committee, included a section (</w:t>
      </w:r>
      <w:r w:rsidR="00A64D49" w:rsidRPr="00A64D49">
        <w:rPr>
          <w:rFonts w:ascii="Bookman Old Style" w:hAnsi="Bookman Old Style"/>
        </w:rPr>
        <w:t xml:space="preserve">§ 27) which restated the prior law and fixed </w:t>
      </w:r>
      <w:r w:rsidR="00896E3C">
        <w:rPr>
          <w:rFonts w:ascii="Bookman Old Style" w:hAnsi="Bookman Old Style"/>
        </w:rPr>
        <w:t>the</w:t>
      </w:r>
      <w:r w:rsidR="00A64D49" w:rsidRPr="00A64D49">
        <w:rPr>
          <w:rFonts w:ascii="Bookman Old Style" w:hAnsi="Bookman Old Style"/>
        </w:rPr>
        <w:t xml:space="preserve"> loophole </w:t>
      </w:r>
      <w:r w:rsidR="0070182F">
        <w:rPr>
          <w:rFonts w:ascii="Bookman Old Style" w:hAnsi="Bookman Old Style"/>
        </w:rPr>
        <w:t xml:space="preserve">created by the Wickersham opinion.  </w:t>
      </w:r>
      <w:r w:rsidR="00A64D49" w:rsidRPr="00A64D49">
        <w:rPr>
          <w:rFonts w:ascii="Bookman Old Style" w:hAnsi="Bookman Old Style"/>
        </w:rPr>
        <w:t>At the time, the entire 1920 Act was thought of as the “Jones Law” or the “Jones Act”</w:t>
      </w:r>
      <w:r w:rsidR="0070182F">
        <w:rPr>
          <w:rFonts w:ascii="Bookman Old Style" w:hAnsi="Bookman Old Style"/>
        </w:rPr>
        <w:t xml:space="preserve"> and most of it had nothing to do with U.S. domestic trade.  Nevertheless, the U.S. domestic trade reservation which dates from 1789, together with the refinements and </w:t>
      </w:r>
      <w:r w:rsidR="0070182F">
        <w:rPr>
          <w:rFonts w:ascii="Bookman Old Style" w:hAnsi="Bookman Old Style"/>
        </w:rPr>
        <w:lastRenderedPageBreak/>
        <w:t>expansions, are generally lumped together and commonly referred to as the “Jones Act.”</w:t>
      </w:r>
    </w:p>
    <w:p w14:paraId="1AC7F9BD" w14:textId="77777777" w:rsidR="00896E3C" w:rsidRPr="00A64D49" w:rsidRDefault="00896E3C" w:rsidP="00A64D49">
      <w:pPr>
        <w:jc w:val="both"/>
        <w:rPr>
          <w:rFonts w:ascii="Bookman Old Style" w:hAnsi="Bookman Old Style"/>
        </w:rPr>
      </w:pPr>
    </w:p>
    <w:p w14:paraId="44596CFA" w14:textId="111B2764" w:rsidR="00A64D49" w:rsidRPr="00A64D49" w:rsidRDefault="0070182F" w:rsidP="00A64D49">
      <w:pPr>
        <w:jc w:val="both"/>
        <w:rPr>
          <w:rFonts w:ascii="Bookman Old Style" w:hAnsi="Bookman Old Style"/>
        </w:rPr>
      </w:pPr>
      <w:r>
        <w:rPr>
          <w:rFonts w:ascii="Bookman Old Style" w:hAnsi="Bookman Old Style"/>
        </w:rPr>
        <w:tab/>
        <w:t>Today, the “</w:t>
      </w:r>
      <w:r w:rsidR="00A64D49" w:rsidRPr="00A64D49">
        <w:rPr>
          <w:rFonts w:ascii="Bookman Old Style" w:hAnsi="Bookman Old Style"/>
        </w:rPr>
        <w:t>Jones Act</w:t>
      </w:r>
      <w:r>
        <w:rPr>
          <w:rFonts w:ascii="Bookman Old Style" w:hAnsi="Bookman Old Style"/>
        </w:rPr>
        <w:t>”</w:t>
      </w:r>
      <w:r w:rsidR="00A64D49" w:rsidRPr="00A64D49">
        <w:rPr>
          <w:rFonts w:ascii="Bookman Old Style" w:hAnsi="Bookman Old Style"/>
        </w:rPr>
        <w:t xml:space="preserve"> and related laws restrict U.S. domestic commerce to U.S. registered vessels that are:</w:t>
      </w:r>
      <w:r>
        <w:rPr>
          <w:rFonts w:ascii="Bookman Old Style" w:hAnsi="Bookman Old Style"/>
        </w:rPr>
        <w:t xml:space="preserve"> </w:t>
      </w:r>
      <w:r w:rsidR="00A64D49" w:rsidRPr="00A64D49">
        <w:rPr>
          <w:rFonts w:ascii="Bookman Old Style" w:hAnsi="Bookman Old Style"/>
        </w:rPr>
        <w:t>U.S.-citizen owned</w:t>
      </w:r>
      <w:r>
        <w:rPr>
          <w:rFonts w:ascii="Bookman Old Style" w:hAnsi="Bookman Old Style"/>
        </w:rPr>
        <w:t xml:space="preserve">, </w:t>
      </w:r>
      <w:r w:rsidR="00A64D49" w:rsidRPr="00A64D49">
        <w:rPr>
          <w:rFonts w:ascii="Bookman Old Style" w:hAnsi="Bookman Old Style"/>
        </w:rPr>
        <w:t>U.S.-citizen operated</w:t>
      </w:r>
      <w:r>
        <w:rPr>
          <w:rFonts w:ascii="Bookman Old Style" w:hAnsi="Bookman Old Style"/>
        </w:rPr>
        <w:t xml:space="preserve"> and </w:t>
      </w:r>
      <w:r w:rsidR="00A64D49" w:rsidRPr="00A64D49">
        <w:rPr>
          <w:rFonts w:ascii="Bookman Old Style" w:hAnsi="Bookman Old Style"/>
        </w:rPr>
        <w:t xml:space="preserve"> </w:t>
      </w:r>
    </w:p>
    <w:p w14:paraId="2B4C9F94" w14:textId="4337BD52" w:rsidR="00A64D49" w:rsidRDefault="00A64D49" w:rsidP="00A64D49">
      <w:pPr>
        <w:jc w:val="both"/>
        <w:rPr>
          <w:rFonts w:ascii="Bookman Old Style" w:hAnsi="Bookman Old Style"/>
        </w:rPr>
      </w:pPr>
      <w:r w:rsidRPr="00A64D49">
        <w:rPr>
          <w:rFonts w:ascii="Bookman Old Style" w:hAnsi="Bookman Old Style"/>
        </w:rPr>
        <w:t>U.S.-built</w:t>
      </w:r>
      <w:r w:rsidR="0070182F">
        <w:rPr>
          <w:rFonts w:ascii="Bookman Old Style" w:hAnsi="Bookman Old Style"/>
        </w:rPr>
        <w:t xml:space="preserve">.  </w:t>
      </w:r>
      <w:r w:rsidR="00E049F7">
        <w:rPr>
          <w:rFonts w:ascii="Bookman Old Style" w:hAnsi="Bookman Old Style"/>
        </w:rPr>
        <w:t xml:space="preserve">46 U.S.C. § 55102 (for “merchandise”).  </w:t>
      </w:r>
      <w:r w:rsidR="0070182F">
        <w:rPr>
          <w:rFonts w:ascii="Bookman Old Style" w:hAnsi="Bookman Old Style"/>
        </w:rPr>
        <w:t>Such vessels must also have a U.S. citizen crew by virtue of being registered in the United States.</w:t>
      </w:r>
    </w:p>
    <w:p w14:paraId="4C66D625" w14:textId="20321DBD" w:rsidR="00E049F7" w:rsidRDefault="00E049F7" w:rsidP="00A64D49">
      <w:pPr>
        <w:jc w:val="both"/>
        <w:rPr>
          <w:rFonts w:ascii="Bookman Old Style" w:hAnsi="Bookman Old Style"/>
        </w:rPr>
      </w:pPr>
    </w:p>
    <w:p w14:paraId="3DAB9C66" w14:textId="5B92D25F" w:rsidR="00E049F7" w:rsidRDefault="00E049F7" w:rsidP="00E049F7">
      <w:pPr>
        <w:pStyle w:val="ListParagraph"/>
        <w:numPr>
          <w:ilvl w:val="0"/>
          <w:numId w:val="12"/>
        </w:numPr>
        <w:ind w:left="1440" w:hanging="720"/>
        <w:jc w:val="both"/>
        <w:rPr>
          <w:rFonts w:ascii="Bookman Old Style" w:hAnsi="Bookman Old Style"/>
        </w:rPr>
      </w:pPr>
      <w:r>
        <w:rPr>
          <w:rFonts w:ascii="Bookman Old Style" w:hAnsi="Bookman Old Style"/>
        </w:rPr>
        <w:t>Applicable Statute</w:t>
      </w:r>
    </w:p>
    <w:p w14:paraId="2A9D7110" w14:textId="73E106B3" w:rsidR="00E049F7" w:rsidRDefault="00E049F7" w:rsidP="00E049F7">
      <w:pPr>
        <w:jc w:val="both"/>
        <w:rPr>
          <w:rFonts w:ascii="Bookman Old Style" w:hAnsi="Bookman Old Style"/>
        </w:rPr>
      </w:pPr>
    </w:p>
    <w:p w14:paraId="15744B84" w14:textId="3121B27E" w:rsidR="00E049F7" w:rsidRDefault="00E049F7" w:rsidP="00E049F7">
      <w:pPr>
        <w:jc w:val="both"/>
        <w:rPr>
          <w:rFonts w:ascii="Bookman Old Style" w:hAnsi="Bookman Old Style"/>
        </w:rPr>
      </w:pPr>
      <w:r>
        <w:rPr>
          <w:rFonts w:ascii="Bookman Old Style" w:hAnsi="Bookman Old Style"/>
        </w:rPr>
        <w:tab/>
        <w:t xml:space="preserve">The Jones Act, as it exists today relating to “merchandise” provides in pertinent part -- </w:t>
      </w:r>
      <w:r w:rsidRPr="00E049F7">
        <w:rPr>
          <w:rFonts w:ascii="Bookman Old Style" w:hAnsi="Bookman Old Style"/>
        </w:rPr>
        <w:t>“a vessel may not provide any part of the transportation of merchandise by water, or by land and water, between points in the United States to which the coastwise laws apply, either directly or via a foreign port, unless the vessel . . . [is a qualified U.S.-flag vessel].” 46 U.S.C. § 55102(b)</w:t>
      </w:r>
      <w:r>
        <w:rPr>
          <w:rFonts w:ascii="Bookman Old Style" w:hAnsi="Bookman Old Style"/>
        </w:rPr>
        <w:t>.</w:t>
      </w:r>
    </w:p>
    <w:p w14:paraId="74C96636" w14:textId="6D6308AC" w:rsidR="00E049F7" w:rsidRDefault="00E049F7" w:rsidP="00E049F7">
      <w:pPr>
        <w:jc w:val="both"/>
        <w:rPr>
          <w:rFonts w:ascii="Bookman Old Style" w:hAnsi="Bookman Old Style"/>
        </w:rPr>
      </w:pPr>
    </w:p>
    <w:p w14:paraId="1ACAEAE7" w14:textId="6F569DCD" w:rsidR="00E049F7" w:rsidRDefault="00E049F7" w:rsidP="00E049F7">
      <w:pPr>
        <w:jc w:val="both"/>
        <w:rPr>
          <w:rFonts w:ascii="Bookman Old Style" w:hAnsi="Bookman Old Style"/>
        </w:rPr>
      </w:pPr>
      <w:r>
        <w:rPr>
          <w:rFonts w:ascii="Bookman Old Style" w:hAnsi="Bookman Old Style"/>
        </w:rPr>
        <w:tab/>
        <w:t>The Act i</w:t>
      </w:r>
      <w:r w:rsidRPr="00E049F7">
        <w:rPr>
          <w:rFonts w:ascii="Bookman Old Style" w:hAnsi="Bookman Old Style"/>
        </w:rPr>
        <w:t>s mainly interpreted by the U.S. Customs and Border Protection agency or CBP</w:t>
      </w:r>
      <w:r>
        <w:rPr>
          <w:rFonts w:ascii="Bookman Old Style" w:hAnsi="Bookman Old Style"/>
        </w:rPr>
        <w:t xml:space="preserve"> with respect to its applicability.  </w:t>
      </w:r>
      <w:r w:rsidRPr="00E049F7">
        <w:rPr>
          <w:rFonts w:ascii="Bookman Old Style" w:hAnsi="Bookman Old Style"/>
        </w:rPr>
        <w:t>CBP Jones Act rulings are publicly available at rulings.cbp.gov</w:t>
      </w:r>
      <w:r>
        <w:rPr>
          <w:rFonts w:ascii="Bookman Old Style" w:hAnsi="Bookman Old Style"/>
        </w:rPr>
        <w:t>.  The U.S Coast Guard oversees the U.S. build requirement and citizenship qualifications.</w:t>
      </w:r>
    </w:p>
    <w:p w14:paraId="68F0B0F7" w14:textId="74C1E3E5" w:rsidR="00CF012E" w:rsidRDefault="00CF012E" w:rsidP="00E049F7">
      <w:pPr>
        <w:jc w:val="both"/>
        <w:rPr>
          <w:rFonts w:ascii="Bookman Old Style" w:hAnsi="Bookman Old Style"/>
        </w:rPr>
      </w:pPr>
    </w:p>
    <w:p w14:paraId="4D50C52C" w14:textId="3F4755A4" w:rsidR="00CF012E" w:rsidRDefault="00CF012E" w:rsidP="00CF012E">
      <w:pPr>
        <w:pStyle w:val="ListParagraph"/>
        <w:numPr>
          <w:ilvl w:val="0"/>
          <w:numId w:val="12"/>
        </w:numPr>
        <w:ind w:left="1440" w:hanging="720"/>
        <w:jc w:val="both"/>
        <w:rPr>
          <w:rFonts w:ascii="Bookman Old Style" w:hAnsi="Bookman Old Style"/>
        </w:rPr>
      </w:pPr>
      <w:r>
        <w:rPr>
          <w:rFonts w:ascii="Bookman Old Style" w:hAnsi="Bookman Old Style"/>
        </w:rPr>
        <w:t>Penalties</w:t>
      </w:r>
    </w:p>
    <w:p w14:paraId="2EAD4C06" w14:textId="5DBD09CC" w:rsidR="00CF012E" w:rsidRDefault="00CF012E" w:rsidP="00CF012E">
      <w:pPr>
        <w:jc w:val="both"/>
        <w:rPr>
          <w:rFonts w:ascii="Bookman Old Style" w:hAnsi="Bookman Old Style"/>
        </w:rPr>
      </w:pPr>
    </w:p>
    <w:p w14:paraId="382DAEDA" w14:textId="4286C5F1" w:rsidR="00CF012E" w:rsidRDefault="00CF012E" w:rsidP="00CF012E">
      <w:pPr>
        <w:jc w:val="both"/>
        <w:rPr>
          <w:rFonts w:ascii="Bookman Old Style" w:hAnsi="Bookman Old Style"/>
        </w:rPr>
      </w:pPr>
      <w:r>
        <w:rPr>
          <w:rFonts w:ascii="Bookman Old Style" w:hAnsi="Bookman Old Style"/>
        </w:rPr>
        <w:tab/>
        <w:t>The penalties for a Jones Act violation can be severe.  The Act provides that “merchandise transported in violation . . . is liable to seizure by and forfeiture to the Government.  Alternatively, an amount equal to the value of the merchandise (as determined by the Secretary of Homeland Security) or the actual cost of the transportation, whichever is greater, may be recovered from any person transporting the merchandise or causing the merchandise to be transported.”  46 U.S.C. § 55102(c).</w:t>
      </w:r>
    </w:p>
    <w:p w14:paraId="47648B63" w14:textId="774430D3" w:rsidR="00CF012E" w:rsidRDefault="00CF012E" w:rsidP="00CF012E">
      <w:pPr>
        <w:jc w:val="both"/>
        <w:rPr>
          <w:rFonts w:ascii="Bookman Old Style" w:hAnsi="Bookman Old Style"/>
        </w:rPr>
      </w:pPr>
    </w:p>
    <w:p w14:paraId="0E120305" w14:textId="7A5460B3" w:rsidR="00CF012E" w:rsidRDefault="00CF012E" w:rsidP="00CF012E">
      <w:pPr>
        <w:jc w:val="both"/>
        <w:rPr>
          <w:rFonts w:ascii="Bookman Old Style" w:hAnsi="Bookman Old Style"/>
        </w:rPr>
      </w:pPr>
      <w:r>
        <w:rPr>
          <w:rFonts w:ascii="Bookman Old Style" w:hAnsi="Bookman Old Style"/>
        </w:rPr>
        <w:tab/>
        <w:t xml:space="preserve">The penalty for transportation of a “passenger” in violation of the law is a fixed amount per violation which has grown over time and is adjusted periodically for inflation.  </w:t>
      </w:r>
      <w:r w:rsidRPr="00CF012E">
        <w:rPr>
          <w:rFonts w:ascii="Bookman Old Style" w:hAnsi="Bookman Old Style"/>
          <w:i/>
          <w:iCs/>
        </w:rPr>
        <w:t>See</w:t>
      </w:r>
      <w:r>
        <w:rPr>
          <w:rFonts w:ascii="Bookman Old Style" w:hAnsi="Bookman Old Style"/>
        </w:rPr>
        <w:t xml:space="preserve"> 46 U.S.C. § 55103(b).</w:t>
      </w:r>
    </w:p>
    <w:p w14:paraId="120EAC57" w14:textId="57F63C14" w:rsidR="00B973E5" w:rsidRDefault="00B973E5" w:rsidP="00CF012E">
      <w:pPr>
        <w:jc w:val="both"/>
        <w:rPr>
          <w:rFonts w:ascii="Bookman Old Style" w:hAnsi="Bookman Old Style"/>
        </w:rPr>
      </w:pPr>
    </w:p>
    <w:p w14:paraId="1C6BA721" w14:textId="6EAFED81" w:rsidR="00B973E5" w:rsidRDefault="00B973E5" w:rsidP="00B973E5">
      <w:pPr>
        <w:pStyle w:val="ListParagraph"/>
        <w:numPr>
          <w:ilvl w:val="0"/>
          <w:numId w:val="12"/>
        </w:numPr>
        <w:ind w:left="1440" w:hanging="720"/>
        <w:jc w:val="both"/>
        <w:rPr>
          <w:rFonts w:ascii="Bookman Old Style" w:hAnsi="Bookman Old Style"/>
        </w:rPr>
      </w:pPr>
      <w:r>
        <w:rPr>
          <w:rFonts w:ascii="Bookman Old Style" w:hAnsi="Bookman Old Style"/>
        </w:rPr>
        <w:t>“Passengers”</w:t>
      </w:r>
    </w:p>
    <w:p w14:paraId="6E376526" w14:textId="52476E55" w:rsidR="00B973E5" w:rsidRDefault="00B973E5" w:rsidP="00B973E5">
      <w:pPr>
        <w:jc w:val="both"/>
        <w:rPr>
          <w:rFonts w:ascii="Bookman Old Style" w:hAnsi="Bookman Old Style"/>
        </w:rPr>
      </w:pPr>
    </w:p>
    <w:p w14:paraId="477AAA2C" w14:textId="7743A5C3" w:rsidR="00B973E5" w:rsidRDefault="00B973E5" w:rsidP="00B973E5">
      <w:pPr>
        <w:jc w:val="both"/>
        <w:rPr>
          <w:rFonts w:ascii="Bookman Old Style" w:hAnsi="Bookman Old Style"/>
        </w:rPr>
      </w:pPr>
      <w:r>
        <w:rPr>
          <w:rFonts w:ascii="Bookman Old Style" w:hAnsi="Bookman Old Style"/>
        </w:rPr>
        <w:tab/>
      </w:r>
      <w:r w:rsidRPr="00B973E5">
        <w:rPr>
          <w:rFonts w:ascii="Bookman Old Style" w:hAnsi="Bookman Old Style"/>
        </w:rPr>
        <w:t>CBP regulations define a “passenger” as “any person carried on a vessel who is not connected with the operation of such vessel, her navigation, ownership, or business</w:t>
      </w:r>
      <w:r>
        <w:rPr>
          <w:rFonts w:ascii="Bookman Old Style" w:hAnsi="Bookman Old Style"/>
        </w:rPr>
        <w:t>.</w:t>
      </w:r>
      <w:r w:rsidRPr="00B973E5">
        <w:rPr>
          <w:rFonts w:ascii="Bookman Old Style" w:hAnsi="Bookman Old Style"/>
        </w:rPr>
        <w:t xml:space="preserve">”  </w:t>
      </w:r>
      <w:r w:rsidR="00D046B6">
        <w:rPr>
          <w:rFonts w:ascii="Bookman Old Style" w:hAnsi="Bookman Old Style"/>
        </w:rPr>
        <w:t>19 C.F.R. § 4.50 (b).</w:t>
      </w:r>
    </w:p>
    <w:p w14:paraId="7B0848D2" w14:textId="07DE98DA" w:rsidR="00B973E5" w:rsidRDefault="00B973E5" w:rsidP="00B973E5">
      <w:pPr>
        <w:jc w:val="both"/>
        <w:rPr>
          <w:rFonts w:ascii="Bookman Old Style" w:hAnsi="Bookman Old Style"/>
        </w:rPr>
      </w:pPr>
    </w:p>
    <w:p w14:paraId="47DF425C" w14:textId="09C82460" w:rsidR="00B973E5" w:rsidRDefault="00D046B6" w:rsidP="00B973E5">
      <w:pPr>
        <w:jc w:val="both"/>
        <w:rPr>
          <w:rFonts w:ascii="Bookman Old Style" w:hAnsi="Bookman Old Style"/>
        </w:rPr>
      </w:pPr>
      <w:r>
        <w:rPr>
          <w:rFonts w:ascii="Bookman Old Style" w:hAnsi="Bookman Old Style"/>
        </w:rPr>
        <w:tab/>
      </w:r>
      <w:r w:rsidR="00B973E5" w:rsidRPr="00B973E5">
        <w:rPr>
          <w:rFonts w:ascii="Bookman Old Style" w:hAnsi="Bookman Old Style"/>
        </w:rPr>
        <w:t xml:space="preserve">CBP has indicated that “workmen, technicians, or observers transported by vessel between ports of the United States are not classified as ‘passengers’ . . </w:t>
      </w:r>
      <w:r w:rsidR="00B973E5" w:rsidRPr="00B973E5">
        <w:rPr>
          <w:rFonts w:ascii="Bookman Old Style" w:hAnsi="Bookman Old Style"/>
        </w:rPr>
        <w:lastRenderedPageBreak/>
        <w:t>. if they are required to be . . . onboard because of a necessary vessel . . . business interest during the voyage</w:t>
      </w:r>
      <w:r>
        <w:rPr>
          <w:rFonts w:ascii="Bookman Old Style" w:hAnsi="Bookman Old Style"/>
        </w:rPr>
        <w:t>.</w:t>
      </w:r>
      <w:r w:rsidR="00B973E5" w:rsidRPr="00B973E5">
        <w:rPr>
          <w:rFonts w:ascii="Bookman Old Style" w:hAnsi="Bookman Old Style"/>
        </w:rPr>
        <w:t xml:space="preserve">” </w:t>
      </w:r>
      <w:r>
        <w:rPr>
          <w:rFonts w:ascii="Bookman Old Style" w:hAnsi="Bookman Old Style"/>
        </w:rPr>
        <w:t>CBP HQ H229016 (Aug. 2, 2012).</w:t>
      </w:r>
    </w:p>
    <w:p w14:paraId="5E282CF9" w14:textId="77777777" w:rsidR="00D046B6" w:rsidRPr="00B973E5" w:rsidRDefault="00D046B6" w:rsidP="00B973E5">
      <w:pPr>
        <w:jc w:val="both"/>
        <w:rPr>
          <w:rFonts w:ascii="Bookman Old Style" w:hAnsi="Bookman Old Style"/>
        </w:rPr>
      </w:pPr>
    </w:p>
    <w:p w14:paraId="19609051" w14:textId="7B859A70" w:rsidR="00B973E5" w:rsidRDefault="00D046B6" w:rsidP="00B973E5">
      <w:pPr>
        <w:jc w:val="both"/>
        <w:rPr>
          <w:rFonts w:ascii="Bookman Old Style" w:hAnsi="Bookman Old Style"/>
          <w:i/>
          <w:iCs/>
        </w:rPr>
      </w:pPr>
      <w:r>
        <w:rPr>
          <w:rFonts w:ascii="Bookman Old Style" w:hAnsi="Bookman Old Style"/>
        </w:rPr>
        <w:tab/>
      </w:r>
      <w:r w:rsidR="00B973E5" w:rsidRPr="00B973E5">
        <w:rPr>
          <w:rFonts w:ascii="Bookman Old Style" w:hAnsi="Bookman Old Style"/>
        </w:rPr>
        <w:t>Furthermore, the individuals must be “‘directly and substantially’ related to the . . . business of the vessel itself in order for such individuals to not be considered as passengers . . .”</w:t>
      </w:r>
      <w:r>
        <w:rPr>
          <w:rFonts w:ascii="Bookman Old Style" w:hAnsi="Bookman Old Style"/>
        </w:rPr>
        <w:t xml:space="preserve">  </w:t>
      </w:r>
      <w:r>
        <w:rPr>
          <w:rFonts w:ascii="Bookman Old Style" w:hAnsi="Bookman Old Style"/>
          <w:i/>
          <w:iCs/>
        </w:rPr>
        <w:t>Id.</w:t>
      </w:r>
    </w:p>
    <w:p w14:paraId="4F82B6B1" w14:textId="77777777" w:rsidR="000723EB" w:rsidRDefault="000723EB" w:rsidP="00B973E5">
      <w:pPr>
        <w:jc w:val="both"/>
        <w:rPr>
          <w:rFonts w:ascii="Bookman Old Style" w:hAnsi="Bookman Old Style"/>
          <w:i/>
          <w:iCs/>
        </w:rPr>
      </w:pPr>
    </w:p>
    <w:p w14:paraId="6B4D2BD7" w14:textId="0903F1B4" w:rsidR="00D046B6" w:rsidRPr="000723EB" w:rsidRDefault="00D046B6" w:rsidP="00D046B6">
      <w:pPr>
        <w:pStyle w:val="ListParagraph"/>
        <w:numPr>
          <w:ilvl w:val="0"/>
          <w:numId w:val="11"/>
        </w:numPr>
        <w:ind w:left="630" w:hanging="630"/>
        <w:jc w:val="both"/>
        <w:rPr>
          <w:rFonts w:ascii="Bookman Old Style" w:hAnsi="Bookman Old Style"/>
          <w:u w:val="single"/>
        </w:rPr>
      </w:pPr>
      <w:r w:rsidRPr="000723EB">
        <w:rPr>
          <w:rFonts w:ascii="Bookman Old Style" w:hAnsi="Bookman Old Style"/>
          <w:u w:val="single"/>
        </w:rPr>
        <w:t>Jones Act and OCSLA</w:t>
      </w:r>
    </w:p>
    <w:p w14:paraId="775C4015" w14:textId="6BED8E75" w:rsidR="00D046B6" w:rsidRDefault="00D046B6" w:rsidP="00D046B6">
      <w:pPr>
        <w:jc w:val="both"/>
        <w:rPr>
          <w:rFonts w:ascii="Bookman Old Style" w:hAnsi="Bookman Old Style"/>
        </w:rPr>
      </w:pPr>
    </w:p>
    <w:p w14:paraId="137F08E8" w14:textId="29116A16" w:rsidR="00D046B6" w:rsidRDefault="003F37B6" w:rsidP="003F37B6">
      <w:pPr>
        <w:pStyle w:val="ListParagraph"/>
        <w:numPr>
          <w:ilvl w:val="0"/>
          <w:numId w:val="13"/>
        </w:numPr>
        <w:ind w:left="1440" w:hanging="720"/>
        <w:jc w:val="both"/>
        <w:rPr>
          <w:rFonts w:ascii="Bookman Old Style" w:hAnsi="Bookman Old Style"/>
        </w:rPr>
      </w:pPr>
      <w:r>
        <w:rPr>
          <w:rFonts w:ascii="Bookman Old Style" w:hAnsi="Bookman Old Style"/>
        </w:rPr>
        <w:t>In General</w:t>
      </w:r>
    </w:p>
    <w:p w14:paraId="1C1F9267" w14:textId="004DA5EF" w:rsidR="003F37B6" w:rsidRDefault="003F37B6" w:rsidP="003F37B6">
      <w:pPr>
        <w:jc w:val="both"/>
        <w:rPr>
          <w:rFonts w:ascii="Bookman Old Style" w:hAnsi="Bookman Old Style"/>
        </w:rPr>
      </w:pPr>
    </w:p>
    <w:p w14:paraId="7AC77180" w14:textId="77777777" w:rsidR="00B87256" w:rsidRDefault="003F37B6" w:rsidP="003F37B6">
      <w:pPr>
        <w:jc w:val="both"/>
        <w:rPr>
          <w:rFonts w:ascii="Bookman Old Style" w:hAnsi="Bookman Old Style"/>
        </w:rPr>
      </w:pPr>
      <w:r>
        <w:rPr>
          <w:rFonts w:ascii="Bookman Old Style" w:hAnsi="Bookman Old Style"/>
        </w:rPr>
        <w:tab/>
        <w:t xml:space="preserve">The phrase in the Jones Act – “to which the coastwise laws apply” – has been interpreted by CBP to apply the Jones Act to </w:t>
      </w:r>
      <w:r w:rsidR="00B87256">
        <w:rPr>
          <w:rFonts w:ascii="Bookman Old Style" w:hAnsi="Bookman Old Style"/>
        </w:rPr>
        <w:t xml:space="preserve">the </w:t>
      </w:r>
      <w:r>
        <w:rPr>
          <w:rFonts w:ascii="Bookman Old Style" w:hAnsi="Bookman Old Style"/>
        </w:rPr>
        <w:t xml:space="preserve">U.S. </w:t>
      </w:r>
      <w:r w:rsidR="00B87256">
        <w:rPr>
          <w:rFonts w:ascii="Bookman Old Style" w:hAnsi="Bookman Old Style"/>
        </w:rPr>
        <w:t>“territorial sea” – meaning 3 nautical miles from the coast.  33 C.F.R. § 2.22(a)(3); CBP HQ 032257 (Aug. 1, 2008).</w:t>
      </w:r>
    </w:p>
    <w:p w14:paraId="2DA35D51" w14:textId="77777777" w:rsidR="00B87256" w:rsidRDefault="00B87256" w:rsidP="003F37B6">
      <w:pPr>
        <w:jc w:val="both"/>
        <w:rPr>
          <w:rFonts w:ascii="Bookman Old Style" w:hAnsi="Bookman Old Style"/>
        </w:rPr>
      </w:pPr>
    </w:p>
    <w:p w14:paraId="3DE36BB6" w14:textId="55B1F059" w:rsidR="003F37B6" w:rsidRDefault="00B87256" w:rsidP="003F37B6">
      <w:pPr>
        <w:jc w:val="both"/>
        <w:rPr>
          <w:rFonts w:ascii="Bookman Old Style" w:hAnsi="Bookman Old Style"/>
        </w:rPr>
      </w:pPr>
      <w:r>
        <w:rPr>
          <w:rFonts w:ascii="Bookman Old Style" w:hAnsi="Bookman Old Style"/>
        </w:rPr>
        <w:tab/>
        <w:t>Beyond the “territorial sea,” the Jones Act, like other federal laws, must be extended by some other law.  The primary jurisdiction extension is contained in the Outer Continental Shelf Lands Act (OCSLA) enacted in 1953 and substantially amended in 1978.</w:t>
      </w:r>
      <w:r w:rsidR="005E53EB">
        <w:rPr>
          <w:rFonts w:ascii="Bookman Old Style" w:hAnsi="Bookman Old Style"/>
        </w:rPr>
        <w:t xml:space="preserve">  43 U.S.C. § 1333.  OCSLA extends federal law out to 200 nautical miles from the U.S. coast on the U.S. outer continental shelf (OCS).</w:t>
      </w:r>
      <w:r w:rsidR="003F37B6">
        <w:rPr>
          <w:rFonts w:ascii="Bookman Old Style" w:hAnsi="Bookman Old Style"/>
        </w:rPr>
        <w:t xml:space="preserve"> </w:t>
      </w:r>
    </w:p>
    <w:p w14:paraId="4FDAFA5A" w14:textId="1EC32637" w:rsidR="003F37B6" w:rsidRDefault="003F37B6" w:rsidP="003F37B6">
      <w:pPr>
        <w:jc w:val="both"/>
        <w:rPr>
          <w:rFonts w:ascii="Bookman Old Style" w:hAnsi="Bookman Old Style"/>
        </w:rPr>
      </w:pPr>
    </w:p>
    <w:p w14:paraId="3F9DC573" w14:textId="4C57DC66" w:rsidR="003F37B6" w:rsidRDefault="005E53EB" w:rsidP="003F37B6">
      <w:pPr>
        <w:jc w:val="both"/>
        <w:rPr>
          <w:rFonts w:ascii="Bookman Old Style" w:hAnsi="Bookman Old Style"/>
          <w:i/>
          <w:iCs/>
        </w:rPr>
      </w:pPr>
      <w:r>
        <w:rPr>
          <w:rFonts w:ascii="Bookman Old Style" w:hAnsi="Bookman Old Style"/>
        </w:rPr>
        <w:tab/>
        <w:t xml:space="preserve">Where there is no federal law to apply, and that includes federal maritime case law, the law of the adjacent state applies.  </w:t>
      </w:r>
      <w:r w:rsidR="003F37B6" w:rsidRPr="003F37B6">
        <w:rPr>
          <w:rFonts w:ascii="Bookman Old Style" w:hAnsi="Bookman Old Style"/>
        </w:rPr>
        <w:t>Prior to 2021, OCSLA applied the U.S. Constitution and federal law:</w:t>
      </w:r>
      <w:r>
        <w:rPr>
          <w:rFonts w:ascii="Bookman Old Style" w:hAnsi="Bookman Old Style"/>
        </w:rPr>
        <w:t xml:space="preserve"> </w:t>
      </w:r>
      <w:r w:rsidR="003F37B6" w:rsidRPr="003F37B6">
        <w:rPr>
          <w:rFonts w:ascii="Bookman Old Style" w:hAnsi="Bookman Old Style"/>
        </w:rPr>
        <w:t>“to the subsoil and seabed of the outer Continental Shelf and to all artificial islands, and all installations and other devices, permanently or temporarily attached to the seabed, which may be erected thereon for the purpose of exploring for, developing, or producing resources</w:t>
      </w:r>
      <w:r>
        <w:rPr>
          <w:rFonts w:ascii="Bookman Old Style" w:hAnsi="Bookman Old Style"/>
        </w:rPr>
        <w:t>.</w:t>
      </w:r>
      <w:r w:rsidR="003F37B6" w:rsidRPr="003F37B6">
        <w:rPr>
          <w:rFonts w:ascii="Bookman Old Style" w:hAnsi="Bookman Old Style"/>
        </w:rPr>
        <w:t>”</w:t>
      </w:r>
      <w:r>
        <w:rPr>
          <w:rFonts w:ascii="Bookman Old Style" w:hAnsi="Bookman Old Style"/>
        </w:rPr>
        <w:t xml:space="preserve">  </w:t>
      </w:r>
      <w:r>
        <w:rPr>
          <w:rFonts w:ascii="Bookman Old Style" w:hAnsi="Bookman Old Style"/>
          <w:i/>
          <w:iCs/>
        </w:rPr>
        <w:t>Id.</w:t>
      </w:r>
    </w:p>
    <w:p w14:paraId="61AF1124" w14:textId="143174FD" w:rsidR="005E53EB" w:rsidRDefault="005E53EB" w:rsidP="003F37B6">
      <w:pPr>
        <w:jc w:val="both"/>
        <w:rPr>
          <w:rFonts w:ascii="Bookman Old Style" w:hAnsi="Bookman Old Style"/>
          <w:i/>
          <w:iCs/>
        </w:rPr>
      </w:pPr>
    </w:p>
    <w:p w14:paraId="4861B865" w14:textId="2D6990DA" w:rsidR="005E53EB" w:rsidRDefault="005E53EB" w:rsidP="005E53EB">
      <w:pPr>
        <w:pStyle w:val="ListParagraph"/>
        <w:numPr>
          <w:ilvl w:val="0"/>
          <w:numId w:val="13"/>
        </w:numPr>
        <w:ind w:left="1440" w:hanging="720"/>
        <w:jc w:val="both"/>
        <w:rPr>
          <w:rFonts w:ascii="Bookman Old Style" w:hAnsi="Bookman Old Style"/>
        </w:rPr>
      </w:pPr>
      <w:r>
        <w:rPr>
          <w:rFonts w:ascii="Bookman Old Style" w:hAnsi="Bookman Old Style"/>
        </w:rPr>
        <w:t xml:space="preserve">OCSLA Issues </w:t>
      </w:r>
    </w:p>
    <w:p w14:paraId="45E6CA3F" w14:textId="267BC7BC" w:rsidR="005E53EB" w:rsidRDefault="005E53EB" w:rsidP="005E53EB">
      <w:pPr>
        <w:jc w:val="both"/>
        <w:rPr>
          <w:rFonts w:ascii="Bookman Old Style" w:hAnsi="Bookman Old Style"/>
        </w:rPr>
      </w:pPr>
    </w:p>
    <w:p w14:paraId="7A67DB55" w14:textId="6CDDC034" w:rsidR="005E53EB" w:rsidRDefault="005E53EB" w:rsidP="005E53EB">
      <w:pPr>
        <w:jc w:val="both"/>
        <w:rPr>
          <w:rFonts w:ascii="Bookman Old Style" w:hAnsi="Bookman Old Style"/>
        </w:rPr>
      </w:pPr>
      <w:r>
        <w:rPr>
          <w:rFonts w:ascii="Bookman Old Style" w:hAnsi="Bookman Old Style"/>
        </w:rPr>
        <w:tab/>
      </w:r>
      <w:r w:rsidRPr="005E53EB">
        <w:rPr>
          <w:rFonts w:ascii="Bookman Old Style" w:hAnsi="Bookman Old Style"/>
        </w:rPr>
        <w:t>Two OCSLA issues</w:t>
      </w:r>
      <w:r>
        <w:rPr>
          <w:rFonts w:ascii="Bookman Old Style" w:hAnsi="Bookman Old Style"/>
        </w:rPr>
        <w:t xml:space="preserve"> have arisen relating to offshore renewable energy</w:t>
      </w:r>
      <w:proofErr w:type="gramStart"/>
      <w:r>
        <w:rPr>
          <w:rFonts w:ascii="Bookman Old Style" w:hAnsi="Bookman Old Style"/>
        </w:rPr>
        <w:t>:  (</w:t>
      </w:r>
      <w:proofErr w:type="gramEnd"/>
      <w:r>
        <w:rPr>
          <w:rFonts w:ascii="Bookman Old Style" w:hAnsi="Bookman Old Style"/>
        </w:rPr>
        <w:t xml:space="preserve">1) </w:t>
      </w:r>
      <w:r w:rsidR="00896E3C">
        <w:rPr>
          <w:rFonts w:ascii="Bookman Old Style" w:hAnsi="Bookman Old Style"/>
        </w:rPr>
        <w:t>w</w:t>
      </w:r>
      <w:r w:rsidRPr="005E53EB">
        <w:rPr>
          <w:rFonts w:ascii="Bookman Old Style" w:hAnsi="Bookman Old Style"/>
        </w:rPr>
        <w:t xml:space="preserve">hether “resources” encompassed offshore renewable energy since the law appeared </w:t>
      </w:r>
      <w:r>
        <w:rPr>
          <w:rFonts w:ascii="Bookman Old Style" w:hAnsi="Bookman Old Style"/>
        </w:rPr>
        <w:t xml:space="preserve">to limit “resources” to oil and gas; and (2) </w:t>
      </w:r>
      <w:r w:rsidR="00896E3C">
        <w:rPr>
          <w:rFonts w:ascii="Bookman Old Style" w:hAnsi="Bookman Old Style"/>
        </w:rPr>
        <w:t>w</w:t>
      </w:r>
      <w:r w:rsidRPr="005E53EB">
        <w:rPr>
          <w:rFonts w:ascii="Bookman Old Style" w:hAnsi="Bookman Old Style"/>
        </w:rPr>
        <w:t>hether “to the subsoil and seabed of the outer Continental Shelf” means literally that federal law applies to the entire pristine OCS regardless of any attachment.</w:t>
      </w:r>
    </w:p>
    <w:p w14:paraId="3221179B" w14:textId="3A93511A" w:rsidR="005E53EB" w:rsidRDefault="005E53EB" w:rsidP="005E53EB">
      <w:pPr>
        <w:jc w:val="both"/>
        <w:rPr>
          <w:rFonts w:ascii="Bookman Old Style" w:hAnsi="Bookman Old Style"/>
        </w:rPr>
      </w:pPr>
    </w:p>
    <w:p w14:paraId="409B2A56" w14:textId="7A4151C2" w:rsidR="005E53EB" w:rsidRDefault="005E53EB" w:rsidP="005E53EB">
      <w:pPr>
        <w:jc w:val="both"/>
        <w:rPr>
          <w:rFonts w:ascii="Bookman Old Style" w:hAnsi="Bookman Old Style"/>
        </w:rPr>
      </w:pPr>
      <w:r>
        <w:rPr>
          <w:rFonts w:ascii="Bookman Old Style" w:hAnsi="Bookman Old Style"/>
        </w:rPr>
        <w:tab/>
        <w:t>With respect to the first issue, the Energy Policy Act of 2005</w:t>
      </w:r>
      <w:r w:rsidR="004302F6">
        <w:rPr>
          <w:rFonts w:ascii="Bookman Old Style" w:hAnsi="Bookman Old Style"/>
        </w:rPr>
        <w:t xml:space="preserve">, 119 Stat. 594, 744 (2005), had granted the U.S. Government offshore leasing authority for renewable energy projects.  But that grant did not address the pre-existing OCSLA jurisdiction grant or define “resources” to make it clear it also covered non-mineral energy resources.  </w:t>
      </w:r>
    </w:p>
    <w:p w14:paraId="7238D8CE" w14:textId="77777777" w:rsidR="005E53EB" w:rsidRDefault="005E53EB" w:rsidP="005E53EB">
      <w:pPr>
        <w:jc w:val="both"/>
        <w:rPr>
          <w:rFonts w:ascii="Bookman Old Style" w:hAnsi="Bookman Old Style"/>
        </w:rPr>
      </w:pPr>
    </w:p>
    <w:p w14:paraId="75AA3EC7" w14:textId="58745A68" w:rsidR="005E53EB" w:rsidRDefault="00940421" w:rsidP="005E53EB">
      <w:pPr>
        <w:jc w:val="both"/>
        <w:rPr>
          <w:rFonts w:ascii="Bookman Old Style" w:hAnsi="Bookman Old Style"/>
        </w:rPr>
      </w:pPr>
      <w:r>
        <w:rPr>
          <w:rFonts w:ascii="Bookman Old Style" w:hAnsi="Bookman Old Style"/>
        </w:rPr>
        <w:tab/>
        <w:t xml:space="preserve">The </w:t>
      </w:r>
      <w:r w:rsidR="005E53EB" w:rsidRPr="005E53EB">
        <w:rPr>
          <w:rFonts w:ascii="Bookman Old Style" w:hAnsi="Bookman Old Style"/>
        </w:rPr>
        <w:t>“</w:t>
      </w:r>
      <w:r>
        <w:rPr>
          <w:rFonts w:ascii="Bookman Old Style" w:hAnsi="Bookman Old Style"/>
        </w:rPr>
        <w:t>r</w:t>
      </w:r>
      <w:r w:rsidR="005E53EB" w:rsidRPr="005E53EB">
        <w:rPr>
          <w:rFonts w:ascii="Bookman Old Style" w:hAnsi="Bookman Old Style"/>
        </w:rPr>
        <w:t xml:space="preserve">esources” issue </w:t>
      </w:r>
      <w:r>
        <w:rPr>
          <w:rFonts w:ascii="Bookman Old Style" w:hAnsi="Bookman Old Style"/>
        </w:rPr>
        <w:t xml:space="preserve">was </w:t>
      </w:r>
      <w:r w:rsidR="005E53EB" w:rsidRPr="005E53EB">
        <w:rPr>
          <w:rFonts w:ascii="Bookman Old Style" w:hAnsi="Bookman Old Style"/>
        </w:rPr>
        <w:t>not addressed until January 1, 2021</w:t>
      </w:r>
      <w:r>
        <w:rPr>
          <w:rFonts w:ascii="Bookman Old Style" w:hAnsi="Bookman Old Style"/>
        </w:rPr>
        <w:t xml:space="preserve"> when </w:t>
      </w:r>
      <w:r w:rsidR="005E53EB" w:rsidRPr="005E53EB">
        <w:rPr>
          <w:rFonts w:ascii="Bookman Old Style" w:hAnsi="Bookman Old Style"/>
        </w:rPr>
        <w:t>OCSLA as amended</w:t>
      </w:r>
      <w:r>
        <w:rPr>
          <w:rFonts w:ascii="Bookman Old Style" w:hAnsi="Bookman Old Style"/>
        </w:rPr>
        <w:t xml:space="preserve"> in the Fiscal Year 2021 National Defense Authorization Act</w:t>
      </w:r>
      <w:r w:rsidR="00CB4E49">
        <w:rPr>
          <w:rFonts w:ascii="Bookman Old Style" w:hAnsi="Bookman Old Style"/>
        </w:rPr>
        <w:t xml:space="preserve"> (section 9503)</w:t>
      </w:r>
      <w:r>
        <w:rPr>
          <w:rFonts w:ascii="Bookman Old Style" w:hAnsi="Bookman Old Style"/>
        </w:rPr>
        <w:t xml:space="preserve"> </w:t>
      </w:r>
      <w:r w:rsidR="00056809">
        <w:rPr>
          <w:rFonts w:ascii="Bookman Old Style" w:hAnsi="Bookman Old Style"/>
        </w:rPr>
        <w:t xml:space="preserve">(emphasis supplied) </w:t>
      </w:r>
      <w:r>
        <w:rPr>
          <w:rFonts w:ascii="Bookman Old Style" w:hAnsi="Bookman Old Style"/>
        </w:rPr>
        <w:t>as follow</w:t>
      </w:r>
      <w:r w:rsidR="00CB4E49">
        <w:rPr>
          <w:rFonts w:ascii="Bookman Old Style" w:hAnsi="Bookman Old Style"/>
        </w:rPr>
        <w:t>s</w:t>
      </w:r>
      <w:r w:rsidR="005E53EB" w:rsidRPr="005E53EB">
        <w:rPr>
          <w:rFonts w:ascii="Bookman Old Style" w:hAnsi="Bookman Old Style"/>
        </w:rPr>
        <w:t xml:space="preserve"> – “The Constitution and laws and civil and political jurisdiction of the United States are extended . . . to – (i) the subsoil and seabed of the outer Continental Shelf [and] . . . (iii) installations and other devices permanently or temporarily attached to the seabed, which may be erected thereon for the purpose of exploring for, developing, or producing resources, </w:t>
      </w:r>
      <w:r w:rsidR="005E53EB" w:rsidRPr="00056809">
        <w:rPr>
          <w:rFonts w:ascii="Bookman Old Style" w:hAnsi="Bookman Old Style"/>
          <w:i/>
          <w:iCs/>
        </w:rPr>
        <w:t>including non-mineral energy resources</w:t>
      </w:r>
      <w:r w:rsidR="005E53EB" w:rsidRPr="005E53EB">
        <w:rPr>
          <w:rFonts w:ascii="Bookman Old Style" w:hAnsi="Bookman Old Style"/>
        </w:rPr>
        <w:t xml:space="preserve"> . . .”</w:t>
      </w:r>
      <w:r w:rsidR="00056809">
        <w:rPr>
          <w:rFonts w:ascii="Bookman Old Style" w:hAnsi="Bookman Old Style"/>
        </w:rPr>
        <w:t xml:space="preserve">  </w:t>
      </w:r>
    </w:p>
    <w:p w14:paraId="0090ADD4" w14:textId="77777777" w:rsidR="000C5DF9" w:rsidRDefault="000C5DF9" w:rsidP="005E53EB">
      <w:pPr>
        <w:jc w:val="both"/>
        <w:rPr>
          <w:rFonts w:ascii="Bookman Old Style" w:hAnsi="Bookman Old Style"/>
        </w:rPr>
      </w:pPr>
    </w:p>
    <w:p w14:paraId="5F1E7F03" w14:textId="1273115A" w:rsidR="0072789D" w:rsidRDefault="0072789D" w:rsidP="0072789D">
      <w:pPr>
        <w:pStyle w:val="ListParagraph"/>
        <w:numPr>
          <w:ilvl w:val="0"/>
          <w:numId w:val="13"/>
        </w:numPr>
        <w:ind w:left="1440" w:hanging="720"/>
        <w:jc w:val="both"/>
        <w:rPr>
          <w:rFonts w:ascii="Bookman Old Style" w:hAnsi="Bookman Old Style"/>
        </w:rPr>
      </w:pPr>
      <w:r>
        <w:rPr>
          <w:rFonts w:ascii="Bookman Old Style" w:hAnsi="Bookman Old Style"/>
        </w:rPr>
        <w:t>CBP Rulings Effect</w:t>
      </w:r>
    </w:p>
    <w:p w14:paraId="636D73CC" w14:textId="39280643" w:rsidR="0072789D" w:rsidRDefault="0072789D" w:rsidP="0072789D">
      <w:pPr>
        <w:jc w:val="both"/>
        <w:rPr>
          <w:rFonts w:ascii="Bookman Old Style" w:hAnsi="Bookman Old Style"/>
        </w:rPr>
      </w:pPr>
    </w:p>
    <w:p w14:paraId="0676D641" w14:textId="131D63B2" w:rsidR="0072789D" w:rsidRDefault="0072789D" w:rsidP="0072789D">
      <w:pPr>
        <w:jc w:val="both"/>
        <w:rPr>
          <w:rFonts w:ascii="Bookman Old Style" w:hAnsi="Bookman Old Style"/>
        </w:rPr>
      </w:pPr>
      <w:r>
        <w:rPr>
          <w:rFonts w:ascii="Bookman Old Style" w:hAnsi="Bookman Old Style"/>
        </w:rPr>
        <w:tab/>
        <w:t>The lack of clari</w:t>
      </w:r>
      <w:r w:rsidR="00D149AB">
        <w:rPr>
          <w:rFonts w:ascii="Bookman Old Style" w:hAnsi="Bookman Old Style"/>
        </w:rPr>
        <w:t>t</w:t>
      </w:r>
      <w:r>
        <w:rPr>
          <w:rFonts w:ascii="Bookman Old Style" w:hAnsi="Bookman Old Style"/>
        </w:rPr>
        <w:t>y on the</w:t>
      </w:r>
      <w:r w:rsidRPr="0072789D">
        <w:t xml:space="preserve"> </w:t>
      </w:r>
      <w:r w:rsidRPr="0072789D">
        <w:rPr>
          <w:rFonts w:ascii="Bookman Old Style" w:hAnsi="Bookman Old Style"/>
        </w:rPr>
        <w:t>“</w:t>
      </w:r>
      <w:r>
        <w:rPr>
          <w:rFonts w:ascii="Bookman Old Style" w:hAnsi="Bookman Old Style"/>
        </w:rPr>
        <w:t>r</w:t>
      </w:r>
      <w:r w:rsidRPr="0072789D">
        <w:rPr>
          <w:rFonts w:ascii="Bookman Old Style" w:hAnsi="Bookman Old Style"/>
        </w:rPr>
        <w:t>esources” issue held up CBP guidance for any project in federal waters</w:t>
      </w:r>
      <w:r>
        <w:rPr>
          <w:rFonts w:ascii="Bookman Old Style" w:hAnsi="Bookman Old Style"/>
        </w:rPr>
        <w:t xml:space="preserve"> (outside 3 NM in the northeast).  C</w:t>
      </w:r>
      <w:r w:rsidRPr="0072789D">
        <w:rPr>
          <w:rFonts w:ascii="Bookman Old Style" w:hAnsi="Bookman Old Style"/>
        </w:rPr>
        <w:t>BP issued</w:t>
      </w:r>
      <w:r>
        <w:rPr>
          <w:rFonts w:ascii="Bookman Old Style" w:hAnsi="Bookman Old Style"/>
        </w:rPr>
        <w:t xml:space="preserve"> early</w:t>
      </w:r>
      <w:r w:rsidRPr="0072789D">
        <w:rPr>
          <w:rFonts w:ascii="Bookman Old Style" w:hAnsi="Bookman Old Style"/>
        </w:rPr>
        <w:t xml:space="preserve"> installation wind rulings in May 2010 and February 2011</w:t>
      </w:r>
      <w:r>
        <w:rPr>
          <w:rFonts w:ascii="Bookman Old Style" w:hAnsi="Bookman Old Style"/>
        </w:rPr>
        <w:t>.</w:t>
      </w:r>
      <w:r w:rsidR="00D149AB">
        <w:rPr>
          <w:rFonts w:ascii="Bookman Old Style" w:hAnsi="Bookman Old Style"/>
        </w:rPr>
        <w:t xml:space="preserve">  CBP HQ H105415 (May 27, 2010); CBP HQ H143075 (Feb. 24, 2011).  Those rulings, however, barely scratched the surface of the issues which needed to be addressed in the offshore wind industry.</w:t>
      </w:r>
    </w:p>
    <w:p w14:paraId="0A064DB1" w14:textId="2EDF346D" w:rsidR="0072789D" w:rsidRDefault="0072789D" w:rsidP="0072789D">
      <w:pPr>
        <w:jc w:val="both"/>
        <w:rPr>
          <w:rFonts w:ascii="Bookman Old Style" w:hAnsi="Bookman Old Style"/>
        </w:rPr>
      </w:pPr>
    </w:p>
    <w:p w14:paraId="4A7278BD" w14:textId="06921F04" w:rsidR="0072789D" w:rsidRDefault="00D149AB" w:rsidP="0072789D">
      <w:pPr>
        <w:jc w:val="both"/>
        <w:rPr>
          <w:rFonts w:ascii="Bookman Old Style" w:hAnsi="Bookman Old Style"/>
        </w:rPr>
      </w:pPr>
      <w:r>
        <w:rPr>
          <w:rFonts w:ascii="Bookman Old Style" w:hAnsi="Bookman Old Style"/>
        </w:rPr>
        <w:tab/>
      </w:r>
      <w:r w:rsidR="0072789D" w:rsidRPr="0072789D">
        <w:rPr>
          <w:rFonts w:ascii="Bookman Old Style" w:hAnsi="Bookman Old Style"/>
        </w:rPr>
        <w:t xml:space="preserve">CBP then refused to issue any further rulings for projects in federal waters from 2011 until </w:t>
      </w:r>
      <w:r>
        <w:rPr>
          <w:rFonts w:ascii="Bookman Old Style" w:hAnsi="Bookman Old Style"/>
        </w:rPr>
        <w:t xml:space="preserve">the January 1, 2021 </w:t>
      </w:r>
      <w:r w:rsidR="0072789D" w:rsidRPr="0072789D">
        <w:rPr>
          <w:rFonts w:ascii="Bookman Old Style" w:hAnsi="Bookman Old Style"/>
        </w:rPr>
        <w:t>jurisdiction fix even though rulings were requested as early as the fall of 2018</w:t>
      </w:r>
      <w:r>
        <w:rPr>
          <w:rFonts w:ascii="Bookman Old Style" w:hAnsi="Bookman Old Style"/>
        </w:rPr>
        <w:t xml:space="preserve">.  The two research </w:t>
      </w:r>
      <w:r w:rsidR="0072789D" w:rsidRPr="0072789D">
        <w:rPr>
          <w:rFonts w:ascii="Bookman Old Style" w:hAnsi="Bookman Old Style"/>
        </w:rPr>
        <w:t xml:space="preserve">turbines installed off </w:t>
      </w:r>
      <w:r>
        <w:rPr>
          <w:rFonts w:ascii="Bookman Old Style" w:hAnsi="Bookman Old Style"/>
        </w:rPr>
        <w:t xml:space="preserve">the coast of </w:t>
      </w:r>
      <w:r w:rsidR="0072789D" w:rsidRPr="0072789D">
        <w:rPr>
          <w:rFonts w:ascii="Bookman Old Style" w:hAnsi="Bookman Old Style"/>
        </w:rPr>
        <w:t xml:space="preserve">Virginia in </w:t>
      </w:r>
      <w:r w:rsidR="00056809">
        <w:rPr>
          <w:rFonts w:ascii="Bookman Old Style" w:hAnsi="Bookman Old Style"/>
        </w:rPr>
        <w:t xml:space="preserve">the </w:t>
      </w:r>
      <w:r w:rsidR="0072789D" w:rsidRPr="0072789D">
        <w:rPr>
          <w:rFonts w:ascii="Bookman Old Style" w:hAnsi="Bookman Old Style"/>
        </w:rPr>
        <w:t xml:space="preserve">summer </w:t>
      </w:r>
      <w:r w:rsidR="00056809">
        <w:rPr>
          <w:rFonts w:ascii="Bookman Old Style" w:hAnsi="Bookman Old Style"/>
        </w:rPr>
        <w:t xml:space="preserve">of </w:t>
      </w:r>
      <w:r w:rsidR="0072789D" w:rsidRPr="0072789D">
        <w:rPr>
          <w:rFonts w:ascii="Bookman Old Style" w:hAnsi="Bookman Old Style"/>
        </w:rPr>
        <w:t xml:space="preserve">2020 </w:t>
      </w:r>
      <w:r>
        <w:rPr>
          <w:rFonts w:ascii="Bookman Old Style" w:hAnsi="Bookman Old Style"/>
        </w:rPr>
        <w:t xml:space="preserve">were </w:t>
      </w:r>
      <w:r w:rsidR="00056809">
        <w:rPr>
          <w:rFonts w:ascii="Bookman Old Style" w:hAnsi="Bookman Old Style"/>
        </w:rPr>
        <w:t>placed</w:t>
      </w:r>
      <w:r w:rsidR="0072789D" w:rsidRPr="0072789D">
        <w:rPr>
          <w:rFonts w:ascii="Bookman Old Style" w:hAnsi="Bookman Old Style"/>
        </w:rPr>
        <w:t xml:space="preserve"> without the benefit of a ruling</w:t>
      </w:r>
      <w:r>
        <w:rPr>
          <w:rFonts w:ascii="Bookman Old Style" w:hAnsi="Bookman Old Style"/>
        </w:rPr>
        <w:t>.</w:t>
      </w:r>
    </w:p>
    <w:p w14:paraId="69587769" w14:textId="01E9D6AF" w:rsidR="00D149AB" w:rsidRDefault="00D149AB" w:rsidP="0072789D">
      <w:pPr>
        <w:jc w:val="both"/>
        <w:rPr>
          <w:rFonts w:ascii="Bookman Old Style" w:hAnsi="Bookman Old Style"/>
        </w:rPr>
      </w:pPr>
    </w:p>
    <w:p w14:paraId="4F850597" w14:textId="3C4F93BB" w:rsidR="0072789D" w:rsidRDefault="00D149AB" w:rsidP="0072789D">
      <w:pPr>
        <w:jc w:val="both"/>
        <w:rPr>
          <w:rFonts w:ascii="Bookman Old Style" w:hAnsi="Bookman Old Style"/>
        </w:rPr>
      </w:pPr>
      <w:r>
        <w:rPr>
          <w:rFonts w:ascii="Bookman Old Style" w:hAnsi="Bookman Old Style"/>
        </w:rPr>
        <w:tab/>
        <w:t>Following the jurisdiction fix, the f</w:t>
      </w:r>
      <w:r w:rsidR="0072789D" w:rsidRPr="0072789D">
        <w:rPr>
          <w:rFonts w:ascii="Bookman Old Style" w:hAnsi="Bookman Old Style"/>
        </w:rPr>
        <w:t>irst federal waters ruling issued since 2011 was issued February 4, 2021 to Maersk Supply re</w:t>
      </w:r>
      <w:r>
        <w:rPr>
          <w:rFonts w:ascii="Bookman Old Style" w:hAnsi="Bookman Old Style"/>
        </w:rPr>
        <w:t>garding certain</w:t>
      </w:r>
      <w:r w:rsidR="0072789D" w:rsidRPr="0072789D">
        <w:rPr>
          <w:rFonts w:ascii="Bookman Old Style" w:hAnsi="Bookman Old Style"/>
        </w:rPr>
        <w:t xml:space="preserve"> installation issues</w:t>
      </w:r>
      <w:r>
        <w:rPr>
          <w:rFonts w:ascii="Bookman Old Style" w:hAnsi="Bookman Old Style"/>
        </w:rPr>
        <w:t>.  CBP HQ H316313 (Feb. 4, 2021).</w:t>
      </w:r>
    </w:p>
    <w:p w14:paraId="53E34F2A" w14:textId="5260DD1E" w:rsidR="00D149AB" w:rsidRDefault="00D149AB" w:rsidP="0072789D">
      <w:pPr>
        <w:jc w:val="both"/>
        <w:rPr>
          <w:rFonts w:ascii="Bookman Old Style" w:hAnsi="Bookman Old Style"/>
        </w:rPr>
      </w:pPr>
    </w:p>
    <w:p w14:paraId="690FA016" w14:textId="22779446" w:rsidR="00D149AB" w:rsidRDefault="000C5DF9" w:rsidP="000C5DF9">
      <w:pPr>
        <w:pStyle w:val="ListParagraph"/>
        <w:numPr>
          <w:ilvl w:val="0"/>
          <w:numId w:val="13"/>
        </w:numPr>
        <w:ind w:left="1440" w:hanging="720"/>
        <w:jc w:val="both"/>
        <w:rPr>
          <w:rFonts w:ascii="Bookman Old Style" w:hAnsi="Bookman Old Style"/>
        </w:rPr>
      </w:pPr>
      <w:r>
        <w:rPr>
          <w:rFonts w:ascii="Bookman Old Style" w:hAnsi="Bookman Old Style"/>
        </w:rPr>
        <w:t>Pristine Seabed Issue</w:t>
      </w:r>
    </w:p>
    <w:p w14:paraId="60800DC8" w14:textId="13446A88" w:rsidR="000C5DF9" w:rsidRDefault="000C5DF9" w:rsidP="000C5DF9">
      <w:pPr>
        <w:jc w:val="both"/>
        <w:rPr>
          <w:rFonts w:ascii="Bookman Old Style" w:hAnsi="Bookman Old Style"/>
        </w:rPr>
      </w:pPr>
    </w:p>
    <w:p w14:paraId="7D91E030" w14:textId="4A06B542" w:rsidR="000C5DF9" w:rsidRDefault="000C5DF9" w:rsidP="000C5DF9">
      <w:pPr>
        <w:jc w:val="both"/>
        <w:rPr>
          <w:rFonts w:ascii="Bookman Old Style" w:hAnsi="Bookman Old Style"/>
        </w:rPr>
      </w:pPr>
      <w:r>
        <w:rPr>
          <w:rFonts w:ascii="Bookman Old Style" w:hAnsi="Bookman Old Style"/>
        </w:rPr>
        <w:tab/>
      </w:r>
      <w:r w:rsidRPr="000C5DF9">
        <w:rPr>
          <w:rFonts w:ascii="Bookman Old Style" w:hAnsi="Bookman Old Style"/>
        </w:rPr>
        <w:t>On the second OCSLA issue</w:t>
      </w:r>
      <w:r>
        <w:rPr>
          <w:rFonts w:ascii="Bookman Old Style" w:hAnsi="Bookman Old Style"/>
        </w:rPr>
        <w:t xml:space="preserve">, </w:t>
      </w:r>
      <w:r w:rsidRPr="000C5DF9">
        <w:rPr>
          <w:rFonts w:ascii="Bookman Old Style" w:hAnsi="Bookman Old Style"/>
        </w:rPr>
        <w:t>CBP has interpreted OCSLA from the beginning to require an attachment to create a Jones Act “point in the United States</w:t>
      </w:r>
      <w:r>
        <w:rPr>
          <w:rFonts w:ascii="Bookman Old Style" w:hAnsi="Bookman Old Style"/>
        </w:rPr>
        <w:t>.</w:t>
      </w:r>
      <w:r w:rsidRPr="000C5DF9">
        <w:rPr>
          <w:rFonts w:ascii="Bookman Old Style" w:hAnsi="Bookman Old Style"/>
        </w:rPr>
        <w:t>”</w:t>
      </w:r>
      <w:r>
        <w:rPr>
          <w:rFonts w:ascii="Bookman Old Style" w:hAnsi="Bookman Old Style"/>
        </w:rPr>
        <w:t xml:space="preserve">  </w:t>
      </w:r>
      <w:r w:rsidR="00CB4E49" w:rsidRPr="00CB4E49">
        <w:rPr>
          <w:rFonts w:ascii="Bookman Old Style" w:hAnsi="Bookman Old Style"/>
        </w:rPr>
        <w:t>For example, CBP has issued a series of consistent rulings regarding whether well heads constitute U.S. points depending on whether they are plugged, abandoned, exploratory etc.  (</w:t>
      </w:r>
      <w:proofErr w:type="gramStart"/>
      <w:r w:rsidR="00CB4E49" w:rsidRPr="00CB4E49">
        <w:rPr>
          <w:rFonts w:ascii="Bookman Old Style" w:hAnsi="Bookman Old Style"/>
        </w:rPr>
        <w:t>e.g.</w:t>
      </w:r>
      <w:proofErr w:type="gramEnd"/>
      <w:r w:rsidR="00CB4E49" w:rsidRPr="00CB4E49">
        <w:rPr>
          <w:rFonts w:ascii="Bookman Old Style" w:hAnsi="Bookman Old Style"/>
        </w:rPr>
        <w:t xml:space="preserve"> </w:t>
      </w:r>
      <w:r w:rsidR="00CB4E49">
        <w:rPr>
          <w:rFonts w:ascii="Bookman Old Style" w:hAnsi="Bookman Old Style"/>
        </w:rPr>
        <w:t xml:space="preserve">CBP </w:t>
      </w:r>
      <w:r w:rsidR="00CB4E49" w:rsidRPr="00CB4E49">
        <w:rPr>
          <w:rFonts w:ascii="Bookman Old Style" w:hAnsi="Bookman Old Style"/>
        </w:rPr>
        <w:t xml:space="preserve">HQ 116394 (Feb. 8, 2005); </w:t>
      </w:r>
      <w:r w:rsidR="00CB4E49">
        <w:rPr>
          <w:rFonts w:ascii="Bookman Old Style" w:hAnsi="Bookman Old Style"/>
        </w:rPr>
        <w:t xml:space="preserve">CBP </w:t>
      </w:r>
      <w:r w:rsidR="00CB4E49" w:rsidRPr="00CB4E49">
        <w:rPr>
          <w:rFonts w:ascii="Bookman Old Style" w:hAnsi="Bookman Old Style"/>
        </w:rPr>
        <w:t>HQ 116350 (Jan 8, 2005); CSD 83-13 (Sep. 16, 1982)).  The distinctions made in these rulings as to the purpose of the well head’s presence would be superfluous if every place on the seabed is a U.S. point because then every well head would perforce be a U.S. point.  Examination of the purpose of an attachment only makes sense if the only way to create a U.S. point is via the permanent or temporary attachment of something “erected thereon for the purpose of exploring for, developing, or producing resources.”</w:t>
      </w:r>
    </w:p>
    <w:p w14:paraId="4CC39650" w14:textId="066A4EFC" w:rsidR="000C5DF9" w:rsidRDefault="000C5DF9" w:rsidP="000C5DF9">
      <w:pPr>
        <w:jc w:val="both"/>
        <w:rPr>
          <w:rFonts w:ascii="Bookman Old Style" w:hAnsi="Bookman Old Style"/>
        </w:rPr>
      </w:pPr>
    </w:p>
    <w:p w14:paraId="3764DDCF" w14:textId="77777777" w:rsidR="000C5DF9" w:rsidRPr="000C5DF9" w:rsidRDefault="000C5DF9" w:rsidP="000C5DF9">
      <w:pPr>
        <w:jc w:val="both"/>
        <w:rPr>
          <w:rFonts w:ascii="Bookman Old Style" w:hAnsi="Bookman Old Style"/>
        </w:rPr>
      </w:pPr>
    </w:p>
    <w:p w14:paraId="42B78F04" w14:textId="4701B1A3" w:rsidR="000C5DF9" w:rsidRDefault="00CB4E49" w:rsidP="000C5DF9">
      <w:pPr>
        <w:jc w:val="both"/>
        <w:rPr>
          <w:rFonts w:ascii="Bookman Old Style" w:hAnsi="Bookman Old Style"/>
        </w:rPr>
      </w:pPr>
      <w:r>
        <w:rPr>
          <w:rFonts w:ascii="Bookman Old Style" w:hAnsi="Bookman Old Style"/>
        </w:rPr>
        <w:tab/>
      </w:r>
      <w:r w:rsidR="000C5DF9" w:rsidRPr="000C5DF9">
        <w:rPr>
          <w:rFonts w:ascii="Bookman Old Style" w:hAnsi="Bookman Old Style"/>
        </w:rPr>
        <w:t>The Offshore Marine Service Association (OMSA) has argued for years that this is a misinterpretation</w:t>
      </w:r>
      <w:r>
        <w:rPr>
          <w:rFonts w:ascii="Bookman Old Style" w:hAnsi="Bookman Old Style"/>
        </w:rPr>
        <w:t>,</w:t>
      </w:r>
      <w:r w:rsidR="000C5DF9" w:rsidRPr="000C5DF9">
        <w:rPr>
          <w:rFonts w:ascii="Bookman Old Style" w:hAnsi="Bookman Old Style"/>
        </w:rPr>
        <w:t xml:space="preserve"> and that the entire pristine OCS seabed is a “point” based on the first part of the jurisdictional grant</w:t>
      </w:r>
      <w:r>
        <w:rPr>
          <w:rFonts w:ascii="Bookman Old Style" w:hAnsi="Bookman Old Style"/>
        </w:rPr>
        <w:t xml:space="preserve">.  </w:t>
      </w:r>
      <w:r w:rsidR="000C5DF9" w:rsidRPr="000C5DF9">
        <w:rPr>
          <w:rFonts w:ascii="Bookman Old Style" w:hAnsi="Bookman Old Style"/>
        </w:rPr>
        <w:t>The issue is subject to pending litigation in the U.S. District Court for the District of Columbia (</w:t>
      </w:r>
      <w:r w:rsidRPr="00CB4E49">
        <w:rPr>
          <w:rFonts w:ascii="Bookman Old Style" w:hAnsi="Bookman Old Style"/>
          <w:i/>
          <w:iCs/>
        </w:rPr>
        <w:t>Radtke v. CBP</w:t>
      </w:r>
      <w:r w:rsidRPr="00CB4E49">
        <w:rPr>
          <w:rFonts w:ascii="Bookman Old Style" w:hAnsi="Bookman Old Style"/>
        </w:rPr>
        <w:t xml:space="preserve"> (Civil Action No. 17-2412</w:t>
      </w:r>
      <w:r w:rsidR="000C5DF9" w:rsidRPr="000C5DF9">
        <w:rPr>
          <w:rFonts w:ascii="Bookman Old Style" w:hAnsi="Bookman Old Style"/>
        </w:rPr>
        <w:t>P)</w:t>
      </w:r>
      <w:r>
        <w:rPr>
          <w:rFonts w:ascii="Bookman Old Style" w:hAnsi="Bookman Old Style"/>
        </w:rPr>
        <w:t>),</w:t>
      </w:r>
      <w:r w:rsidR="000C5DF9" w:rsidRPr="000C5DF9">
        <w:rPr>
          <w:rFonts w:ascii="Bookman Old Style" w:hAnsi="Bookman Old Style"/>
        </w:rPr>
        <w:t xml:space="preserve"> among other issues</w:t>
      </w:r>
      <w:r>
        <w:rPr>
          <w:rFonts w:ascii="Bookman Old Style" w:hAnsi="Bookman Old Style"/>
        </w:rPr>
        <w:t>,</w:t>
      </w:r>
      <w:r w:rsidR="000C5DF9" w:rsidRPr="000C5DF9">
        <w:rPr>
          <w:rFonts w:ascii="Bookman Old Style" w:hAnsi="Bookman Old Style"/>
        </w:rPr>
        <w:t xml:space="preserve"> which started with the “vessel equipment” controversy</w:t>
      </w:r>
      <w:r>
        <w:rPr>
          <w:rFonts w:ascii="Bookman Old Style" w:hAnsi="Bookman Old Style"/>
        </w:rPr>
        <w:t xml:space="preserve"> discussed below.</w:t>
      </w:r>
    </w:p>
    <w:p w14:paraId="270884C3" w14:textId="0CD9ED22" w:rsidR="00CB4E49" w:rsidRDefault="00CB4E49" w:rsidP="000C5DF9">
      <w:pPr>
        <w:jc w:val="both"/>
        <w:rPr>
          <w:rFonts w:ascii="Bookman Old Style" w:hAnsi="Bookman Old Style"/>
        </w:rPr>
      </w:pPr>
    </w:p>
    <w:p w14:paraId="1F6ADEFC" w14:textId="53D5BA99" w:rsidR="00CB4E49" w:rsidRDefault="00CB4E49" w:rsidP="00CB4E49">
      <w:pPr>
        <w:pStyle w:val="ListParagraph"/>
        <w:numPr>
          <w:ilvl w:val="0"/>
          <w:numId w:val="11"/>
        </w:numPr>
        <w:tabs>
          <w:tab w:val="left" w:pos="720"/>
        </w:tabs>
        <w:ind w:left="720"/>
        <w:jc w:val="both"/>
        <w:rPr>
          <w:rFonts w:ascii="Bookman Old Style" w:hAnsi="Bookman Old Style"/>
          <w:u w:val="single"/>
        </w:rPr>
      </w:pPr>
      <w:r w:rsidRPr="008678AC">
        <w:rPr>
          <w:rFonts w:ascii="Bookman Old Style" w:hAnsi="Bookman Old Style"/>
          <w:u w:val="single"/>
        </w:rPr>
        <w:t>“Vessel Equipment” and “Transportation”</w:t>
      </w:r>
    </w:p>
    <w:p w14:paraId="49647359" w14:textId="3E6F393C" w:rsidR="00821302" w:rsidRDefault="00821302" w:rsidP="00821302">
      <w:pPr>
        <w:tabs>
          <w:tab w:val="left" w:pos="720"/>
        </w:tabs>
        <w:jc w:val="both"/>
        <w:rPr>
          <w:rFonts w:ascii="Bookman Old Style" w:hAnsi="Bookman Old Style"/>
          <w:u w:val="single"/>
        </w:rPr>
      </w:pPr>
    </w:p>
    <w:p w14:paraId="4BF38EA9" w14:textId="5A2D2433" w:rsidR="00821302" w:rsidRDefault="00821302" w:rsidP="00A44744">
      <w:pPr>
        <w:pStyle w:val="ListParagraph"/>
        <w:numPr>
          <w:ilvl w:val="0"/>
          <w:numId w:val="15"/>
        </w:numPr>
        <w:tabs>
          <w:tab w:val="left" w:pos="720"/>
        </w:tabs>
        <w:ind w:left="1440" w:hanging="720"/>
        <w:jc w:val="both"/>
        <w:rPr>
          <w:rFonts w:ascii="Bookman Old Style" w:hAnsi="Bookman Old Style"/>
        </w:rPr>
      </w:pPr>
      <w:r>
        <w:rPr>
          <w:rFonts w:ascii="Bookman Old Style" w:hAnsi="Bookman Old Style"/>
        </w:rPr>
        <w:t>“Vessel Equipment”</w:t>
      </w:r>
    </w:p>
    <w:p w14:paraId="2205EEC1" w14:textId="77777777" w:rsidR="00821302" w:rsidRDefault="00821302" w:rsidP="00821302">
      <w:pPr>
        <w:pStyle w:val="ListParagraph"/>
        <w:ind w:left="1080"/>
        <w:jc w:val="both"/>
        <w:rPr>
          <w:rFonts w:ascii="Bookman Old Style" w:hAnsi="Bookman Old Style"/>
        </w:rPr>
      </w:pPr>
    </w:p>
    <w:p w14:paraId="58F9997C" w14:textId="58A513F0" w:rsidR="00CB4E49" w:rsidRPr="00821302" w:rsidRDefault="00821302" w:rsidP="00821302">
      <w:pPr>
        <w:pStyle w:val="ListParagraph"/>
        <w:ind w:left="0"/>
        <w:jc w:val="both"/>
        <w:rPr>
          <w:rFonts w:ascii="Bookman Old Style" w:hAnsi="Bookman Old Style"/>
        </w:rPr>
      </w:pPr>
      <w:r>
        <w:rPr>
          <w:rFonts w:ascii="Bookman Old Style" w:hAnsi="Bookman Old Style"/>
        </w:rPr>
        <w:tab/>
      </w:r>
      <w:r w:rsidR="00CB4E49" w:rsidRPr="00821302">
        <w:rPr>
          <w:rFonts w:ascii="Bookman Old Style" w:hAnsi="Bookman Old Style"/>
        </w:rPr>
        <w:t>Jones Act applies to “transportation” of “merchandise.”  Both terms have been controversial.</w:t>
      </w:r>
    </w:p>
    <w:p w14:paraId="6013DFA7" w14:textId="77777777" w:rsidR="00CB4E49" w:rsidRPr="00CB4E49" w:rsidRDefault="00CB4E49" w:rsidP="00CB4E49">
      <w:pPr>
        <w:jc w:val="both"/>
        <w:rPr>
          <w:rFonts w:ascii="Bookman Old Style" w:hAnsi="Bookman Old Style"/>
        </w:rPr>
      </w:pPr>
    </w:p>
    <w:p w14:paraId="32A8E105" w14:textId="19404C54" w:rsidR="00CB4E49" w:rsidRPr="00CB4E49" w:rsidRDefault="00CB4E49" w:rsidP="00CB4E49">
      <w:pPr>
        <w:jc w:val="both"/>
        <w:rPr>
          <w:rFonts w:ascii="Bookman Old Style" w:hAnsi="Bookman Old Style"/>
        </w:rPr>
      </w:pPr>
      <w:r>
        <w:rPr>
          <w:rFonts w:ascii="Bookman Old Style" w:hAnsi="Bookman Old Style"/>
        </w:rPr>
        <w:tab/>
      </w:r>
      <w:r w:rsidRPr="00CB4E49">
        <w:rPr>
          <w:rFonts w:ascii="Bookman Old Style" w:hAnsi="Bookman Old Style"/>
        </w:rPr>
        <w:t>CBP has long considered “vessel equipment” not to be “merchandise</w:t>
      </w:r>
      <w:r>
        <w:rPr>
          <w:rFonts w:ascii="Bookman Old Style" w:hAnsi="Bookman Old Style"/>
        </w:rPr>
        <w:t>.</w:t>
      </w:r>
      <w:r w:rsidRPr="00CB4E49">
        <w:rPr>
          <w:rFonts w:ascii="Bookman Old Style" w:hAnsi="Bookman Old Style"/>
        </w:rPr>
        <w:t>”</w:t>
      </w:r>
      <w:r>
        <w:rPr>
          <w:rFonts w:ascii="Bookman Old Style" w:hAnsi="Bookman Old Style"/>
        </w:rPr>
        <w:t xml:space="preserve">  E.g., </w:t>
      </w:r>
      <w:r w:rsidR="00821302">
        <w:rPr>
          <w:rFonts w:ascii="Bookman Old Style" w:hAnsi="Bookman Old Style"/>
        </w:rPr>
        <w:t xml:space="preserve">CBP </w:t>
      </w:r>
      <w:r w:rsidR="00821302" w:rsidRPr="00821302">
        <w:rPr>
          <w:rFonts w:ascii="Bookman Old Style" w:hAnsi="Bookman Old Style"/>
        </w:rPr>
        <w:t>HQ H029417 (June 5, 2008) quoting T.D. 49815(4) (March 13, 1939).</w:t>
      </w:r>
      <w:r w:rsidR="00821302">
        <w:rPr>
          <w:rFonts w:ascii="Bookman Old Style" w:hAnsi="Bookman Old Style"/>
        </w:rPr>
        <w:t xml:space="preserve">  </w:t>
      </w:r>
    </w:p>
    <w:p w14:paraId="6B1DB324" w14:textId="3730AD03" w:rsidR="00CB4E49" w:rsidRDefault="00CB4E49" w:rsidP="00CB4E49">
      <w:pPr>
        <w:jc w:val="both"/>
        <w:rPr>
          <w:rFonts w:ascii="Bookman Old Style" w:hAnsi="Bookman Old Style"/>
        </w:rPr>
      </w:pPr>
      <w:r w:rsidRPr="00CB4E49">
        <w:rPr>
          <w:rFonts w:ascii="Bookman Old Style" w:hAnsi="Bookman Old Style"/>
        </w:rPr>
        <w:t>CBP has relied on a 1939 definition</w:t>
      </w:r>
      <w:r w:rsidR="00056809">
        <w:rPr>
          <w:rFonts w:ascii="Bookman Old Style" w:hAnsi="Bookman Old Style"/>
        </w:rPr>
        <w:t xml:space="preserve"> of vessel equipment </w:t>
      </w:r>
      <w:r w:rsidRPr="00CB4E49">
        <w:rPr>
          <w:rFonts w:ascii="Bookman Old Style" w:hAnsi="Bookman Old Style"/>
        </w:rPr>
        <w:t xml:space="preserve">– “portable articles necessary and appropriate for the navigation, operation or maintenance of the vessel </w:t>
      </w:r>
      <w:proofErr w:type="gramStart"/>
      <w:r w:rsidRPr="00CB4E49">
        <w:rPr>
          <w:rFonts w:ascii="Bookman Old Style" w:hAnsi="Bookman Old Style"/>
        </w:rPr>
        <w:t>. . . ”</w:t>
      </w:r>
      <w:proofErr w:type="gramEnd"/>
    </w:p>
    <w:p w14:paraId="34AA891E" w14:textId="77777777" w:rsidR="00821302" w:rsidRPr="00CB4E49" w:rsidRDefault="00821302" w:rsidP="00CB4E49">
      <w:pPr>
        <w:jc w:val="both"/>
        <w:rPr>
          <w:rFonts w:ascii="Bookman Old Style" w:hAnsi="Bookman Old Style"/>
        </w:rPr>
      </w:pPr>
    </w:p>
    <w:p w14:paraId="6D6E5533" w14:textId="3395351C" w:rsidR="00CB4E49" w:rsidRDefault="00821302" w:rsidP="00CB4E49">
      <w:pPr>
        <w:jc w:val="both"/>
        <w:rPr>
          <w:rFonts w:ascii="Bookman Old Style" w:hAnsi="Bookman Old Style"/>
        </w:rPr>
      </w:pPr>
      <w:r>
        <w:rPr>
          <w:rFonts w:ascii="Bookman Old Style" w:hAnsi="Bookman Old Style"/>
        </w:rPr>
        <w:tab/>
      </w:r>
      <w:r w:rsidR="00CB4E49" w:rsidRPr="00CB4E49">
        <w:rPr>
          <w:rFonts w:ascii="Bookman Old Style" w:hAnsi="Bookman Old Style"/>
        </w:rPr>
        <w:t>CBP focused over time on “necessary for the operation of the vessel” and so ruled that many items installed on the OCS – such as pipeline connectors and risers – are all “vessel equipment” if carried and installed by the same vessel</w:t>
      </w:r>
      <w:r>
        <w:rPr>
          <w:rFonts w:ascii="Bookman Old Style" w:hAnsi="Bookman Old Style"/>
        </w:rPr>
        <w:t>.</w:t>
      </w:r>
    </w:p>
    <w:p w14:paraId="33C1D0FB" w14:textId="77777777" w:rsidR="00821302" w:rsidRDefault="00821302" w:rsidP="00CB4E49">
      <w:pPr>
        <w:jc w:val="both"/>
        <w:rPr>
          <w:rFonts w:ascii="Bookman Old Style" w:hAnsi="Bookman Old Style"/>
        </w:rPr>
      </w:pPr>
      <w:r>
        <w:rPr>
          <w:rFonts w:ascii="Bookman Old Style" w:hAnsi="Bookman Old Style"/>
        </w:rPr>
        <w:tab/>
      </w:r>
    </w:p>
    <w:p w14:paraId="3CC77FBC" w14:textId="6DD6C526" w:rsidR="00CB4E49" w:rsidRPr="00CB4E49" w:rsidRDefault="00821302" w:rsidP="00CB4E49">
      <w:pPr>
        <w:jc w:val="both"/>
        <w:rPr>
          <w:rFonts w:ascii="Bookman Old Style" w:hAnsi="Bookman Old Style"/>
        </w:rPr>
      </w:pPr>
      <w:r>
        <w:rPr>
          <w:rFonts w:ascii="Bookman Old Style" w:hAnsi="Bookman Old Style"/>
        </w:rPr>
        <w:tab/>
      </w:r>
      <w:r w:rsidR="00CB4E49" w:rsidRPr="00CB4E49">
        <w:rPr>
          <w:rFonts w:ascii="Bookman Old Style" w:hAnsi="Bookman Old Style"/>
        </w:rPr>
        <w:t>In 2009, CBP went the furthest when it confirmed that a subsea assembly or “Christmas tree” was “vessel equipment</w:t>
      </w:r>
      <w:r>
        <w:rPr>
          <w:rFonts w:ascii="Bookman Old Style" w:hAnsi="Bookman Old Style"/>
        </w:rPr>
        <w:t>.</w:t>
      </w:r>
      <w:r w:rsidR="00CB4E49" w:rsidRPr="00CB4E49">
        <w:rPr>
          <w:rFonts w:ascii="Bookman Old Style" w:hAnsi="Bookman Old Style"/>
        </w:rPr>
        <w:t>”</w:t>
      </w:r>
      <w:r>
        <w:rPr>
          <w:rFonts w:ascii="Bookman Old Style" w:hAnsi="Bookman Old Style"/>
        </w:rPr>
        <w:t xml:space="preserve">  CBP HQ H046137 (Feb. 20, 2009).</w:t>
      </w:r>
      <w:r w:rsidR="00CB4E49" w:rsidRPr="00CB4E49">
        <w:rPr>
          <w:rFonts w:ascii="Bookman Old Style" w:hAnsi="Bookman Old Style"/>
        </w:rPr>
        <w:t xml:space="preserve"> </w:t>
      </w:r>
    </w:p>
    <w:p w14:paraId="50B61BE1" w14:textId="54BCA5B5" w:rsidR="00CB4E49" w:rsidRDefault="00CB4E49" w:rsidP="00CB4E49">
      <w:pPr>
        <w:jc w:val="both"/>
        <w:rPr>
          <w:rFonts w:ascii="Bookman Old Style" w:hAnsi="Bookman Old Style"/>
        </w:rPr>
      </w:pPr>
      <w:r w:rsidRPr="00CB4E49">
        <w:rPr>
          <w:rFonts w:ascii="Bookman Old Style" w:hAnsi="Bookman Old Style"/>
        </w:rPr>
        <w:t>When the ruling became public, political pressure was immediately brought to bear and CBP withdrew the ruling</w:t>
      </w:r>
      <w:r w:rsidR="00A44744">
        <w:rPr>
          <w:rFonts w:ascii="Bookman Old Style" w:hAnsi="Bookman Old Style"/>
        </w:rPr>
        <w:t xml:space="preserve"> and commenced a regulatory process which took more than ten years</w:t>
      </w:r>
      <w:r w:rsidR="00821302">
        <w:rPr>
          <w:rFonts w:ascii="Bookman Old Style" w:hAnsi="Bookman Old Style"/>
        </w:rPr>
        <w:t>.  CBP HQ H055599 (Mar. 26, 2009).</w:t>
      </w:r>
    </w:p>
    <w:p w14:paraId="427E1284" w14:textId="7999268B" w:rsidR="00A44744" w:rsidRDefault="00A44744" w:rsidP="00CB4E49">
      <w:pPr>
        <w:jc w:val="both"/>
        <w:rPr>
          <w:rFonts w:ascii="Bookman Old Style" w:hAnsi="Bookman Old Style"/>
        </w:rPr>
      </w:pPr>
    </w:p>
    <w:p w14:paraId="597D17AC" w14:textId="0AAC371E" w:rsidR="00A44744" w:rsidRDefault="00A44744" w:rsidP="00A44744">
      <w:pPr>
        <w:jc w:val="both"/>
        <w:rPr>
          <w:rFonts w:ascii="Bookman Old Style" w:hAnsi="Bookman Old Style"/>
        </w:rPr>
      </w:pPr>
      <w:r>
        <w:rPr>
          <w:rFonts w:ascii="Bookman Old Style" w:hAnsi="Bookman Old Style"/>
        </w:rPr>
        <w:tab/>
      </w:r>
      <w:r w:rsidRPr="00A44744">
        <w:rPr>
          <w:rFonts w:ascii="Bookman Old Style" w:hAnsi="Bookman Old Style"/>
        </w:rPr>
        <w:t>CBP regulatory process culminated in</w:t>
      </w:r>
      <w:r>
        <w:rPr>
          <w:rFonts w:ascii="Bookman Old Style" w:hAnsi="Bookman Old Style"/>
        </w:rPr>
        <w:t xml:space="preserve"> </w:t>
      </w:r>
      <w:r w:rsidRPr="00A44744">
        <w:rPr>
          <w:rFonts w:ascii="Bookman Old Style" w:hAnsi="Bookman Old Style"/>
        </w:rPr>
        <w:t>December 11, 2019 guidance which revoked a number of prior “vessel equipment” rulings</w:t>
      </w:r>
      <w:r>
        <w:rPr>
          <w:rFonts w:ascii="Bookman Old Style" w:hAnsi="Bookman Old Style"/>
        </w:rPr>
        <w:t xml:space="preserve">.  53 </w:t>
      </w:r>
      <w:proofErr w:type="spellStart"/>
      <w:r w:rsidRPr="00B96149">
        <w:rPr>
          <w:rFonts w:ascii="Bookman Old Style" w:hAnsi="Bookman Old Style"/>
          <w:i/>
          <w:iCs/>
        </w:rPr>
        <w:t>Cus</w:t>
      </w:r>
      <w:proofErr w:type="spellEnd"/>
      <w:r w:rsidRPr="00B96149">
        <w:rPr>
          <w:rFonts w:ascii="Bookman Old Style" w:hAnsi="Bookman Old Style"/>
          <w:i/>
          <w:iCs/>
        </w:rPr>
        <w:t>. Bull. and Dec.</w:t>
      </w:r>
      <w:r>
        <w:rPr>
          <w:rFonts w:ascii="Bookman Old Style" w:hAnsi="Bookman Old Style"/>
        </w:rPr>
        <w:t xml:space="preserve"> </w:t>
      </w:r>
      <w:r w:rsidR="00B96149">
        <w:rPr>
          <w:rFonts w:ascii="Bookman Old Style" w:hAnsi="Bookman Old Style"/>
        </w:rPr>
        <w:t>84 (Dec. 11, 2019).</w:t>
      </w:r>
    </w:p>
    <w:p w14:paraId="75E16D05" w14:textId="642047EF" w:rsidR="00A44744" w:rsidRDefault="00A44744" w:rsidP="00A44744">
      <w:pPr>
        <w:jc w:val="both"/>
        <w:rPr>
          <w:rFonts w:ascii="Bookman Old Style" w:hAnsi="Bookman Old Style"/>
        </w:rPr>
      </w:pPr>
    </w:p>
    <w:p w14:paraId="1A5AE8D5" w14:textId="616A2AF3" w:rsidR="00A44744" w:rsidRDefault="00B96149" w:rsidP="00A44744">
      <w:pPr>
        <w:jc w:val="both"/>
        <w:rPr>
          <w:rFonts w:ascii="Bookman Old Style" w:hAnsi="Bookman Old Style"/>
        </w:rPr>
      </w:pPr>
      <w:r>
        <w:rPr>
          <w:rFonts w:ascii="Bookman Old Style" w:hAnsi="Bookman Old Style"/>
        </w:rPr>
        <w:tab/>
        <w:t>The 2019 g</w:t>
      </w:r>
      <w:r w:rsidR="00A44744" w:rsidRPr="00A44744">
        <w:rPr>
          <w:rFonts w:ascii="Bookman Old Style" w:hAnsi="Bookman Old Style"/>
        </w:rPr>
        <w:t xml:space="preserve">uidance retained the 1939 definition but eliminated prior rationales – “incidental,” “unforeseeable,” and “de minimis” </w:t>
      </w:r>
      <w:r>
        <w:rPr>
          <w:rFonts w:ascii="Bookman Old Style" w:hAnsi="Bookman Old Style"/>
        </w:rPr>
        <w:t xml:space="preserve">contained in CBP rulings.  The new focus was on </w:t>
      </w:r>
      <w:r w:rsidR="00A44744" w:rsidRPr="00A44744">
        <w:rPr>
          <w:rFonts w:ascii="Bookman Old Style" w:hAnsi="Bookman Old Style"/>
        </w:rPr>
        <w:t>“items that are integral to the function of the vessel and are carried by the vessel” versus “necessary for the operation of the vessel</w:t>
      </w:r>
      <w:r>
        <w:rPr>
          <w:rFonts w:ascii="Bookman Old Style" w:hAnsi="Bookman Old Style"/>
        </w:rPr>
        <w:t>.</w:t>
      </w:r>
      <w:r w:rsidR="00A44744" w:rsidRPr="00A44744">
        <w:rPr>
          <w:rFonts w:ascii="Bookman Old Style" w:hAnsi="Bookman Old Style"/>
        </w:rPr>
        <w:t>”</w:t>
      </w:r>
      <w:r>
        <w:rPr>
          <w:rFonts w:ascii="Bookman Old Style" w:hAnsi="Bookman Old Style"/>
        </w:rPr>
        <w:t xml:space="preserve">  The guidance further indicated that </w:t>
      </w:r>
      <w:r w:rsidR="00A44744" w:rsidRPr="00A44744">
        <w:rPr>
          <w:rFonts w:ascii="Bookman Old Style" w:hAnsi="Bookman Old Style"/>
        </w:rPr>
        <w:t>these</w:t>
      </w:r>
      <w:r>
        <w:rPr>
          <w:rFonts w:ascii="Bookman Old Style" w:hAnsi="Bookman Old Style"/>
        </w:rPr>
        <w:t xml:space="preserve"> </w:t>
      </w:r>
      <w:r w:rsidR="00A44744" w:rsidRPr="00A44744">
        <w:rPr>
          <w:rFonts w:ascii="Bookman Old Style" w:hAnsi="Bookman Old Style"/>
        </w:rPr>
        <w:t xml:space="preserve">“functions include, inter alia, those items that aid in the installation, inspection, repair, maintenance, surveying, positioning, modification, construction, decommissioning, drilling, completion, workover, abandonment or other similar activities or operations of </w:t>
      </w:r>
      <w:r w:rsidR="00A44744" w:rsidRPr="00A44744">
        <w:rPr>
          <w:rFonts w:ascii="Bookman Old Style" w:hAnsi="Bookman Old Style"/>
        </w:rPr>
        <w:lastRenderedPageBreak/>
        <w:t>wells, seafloor or subsea infrastructure, flowlines, and surface production facilities</w:t>
      </w:r>
      <w:r>
        <w:rPr>
          <w:rFonts w:ascii="Bookman Old Style" w:hAnsi="Bookman Old Style"/>
        </w:rPr>
        <w:t>.</w:t>
      </w:r>
      <w:r w:rsidR="00A44744" w:rsidRPr="00A44744">
        <w:rPr>
          <w:rFonts w:ascii="Bookman Old Style" w:hAnsi="Bookman Old Style"/>
        </w:rPr>
        <w:t>”</w:t>
      </w:r>
    </w:p>
    <w:p w14:paraId="40FE8478" w14:textId="77777777" w:rsidR="00056809" w:rsidRPr="00A44744" w:rsidRDefault="00056809" w:rsidP="00A44744">
      <w:pPr>
        <w:jc w:val="both"/>
        <w:rPr>
          <w:rFonts w:ascii="Bookman Old Style" w:hAnsi="Bookman Old Style"/>
        </w:rPr>
      </w:pPr>
    </w:p>
    <w:p w14:paraId="0368A57A" w14:textId="668572E4" w:rsidR="00A44744" w:rsidRDefault="00B96149" w:rsidP="00A44744">
      <w:pPr>
        <w:jc w:val="both"/>
        <w:rPr>
          <w:rFonts w:ascii="Bookman Old Style" w:hAnsi="Bookman Old Style"/>
        </w:rPr>
      </w:pPr>
      <w:r>
        <w:rPr>
          <w:rFonts w:ascii="Bookman Old Style" w:hAnsi="Bookman Old Style"/>
        </w:rPr>
        <w:tab/>
      </w:r>
      <w:r w:rsidR="00A44744" w:rsidRPr="00A44744">
        <w:rPr>
          <w:rFonts w:ascii="Bookman Old Style" w:hAnsi="Bookman Old Style"/>
        </w:rPr>
        <w:t xml:space="preserve">CBP also emphasized that the fact that </w:t>
      </w:r>
      <w:r w:rsidR="00056809">
        <w:rPr>
          <w:rFonts w:ascii="Bookman Old Style" w:hAnsi="Bookman Old Style"/>
        </w:rPr>
        <w:t xml:space="preserve">when an item </w:t>
      </w:r>
      <w:r w:rsidR="00A44744" w:rsidRPr="00A44744">
        <w:rPr>
          <w:rFonts w:ascii="Bookman Old Style" w:hAnsi="Bookman Old Style"/>
        </w:rPr>
        <w:t>“is not left behind on the seabed</w:t>
      </w:r>
      <w:r w:rsidR="00056809">
        <w:rPr>
          <w:rFonts w:ascii="Bookman Old Style" w:hAnsi="Bookman Old Style"/>
        </w:rPr>
        <w:t>,” that “</w:t>
      </w:r>
      <w:r w:rsidR="00A44744" w:rsidRPr="00A44744">
        <w:rPr>
          <w:rFonts w:ascii="Bookman Old Style" w:hAnsi="Bookman Old Style"/>
        </w:rPr>
        <w:t>is a factor that weighs in favor of an item being classified as vessel equipment, but is not a determinative factor</w:t>
      </w:r>
      <w:r>
        <w:rPr>
          <w:rFonts w:ascii="Bookman Old Style" w:hAnsi="Bookman Old Style"/>
        </w:rPr>
        <w:t>.</w:t>
      </w:r>
      <w:r w:rsidR="00A44744" w:rsidRPr="00A44744">
        <w:rPr>
          <w:rFonts w:ascii="Bookman Old Style" w:hAnsi="Bookman Old Style"/>
        </w:rPr>
        <w:t>”</w:t>
      </w:r>
    </w:p>
    <w:p w14:paraId="71C4CCBB" w14:textId="25EF0BF6" w:rsidR="00B96149" w:rsidRDefault="00B96149" w:rsidP="00A44744">
      <w:pPr>
        <w:jc w:val="both"/>
        <w:rPr>
          <w:rFonts w:ascii="Bookman Old Style" w:hAnsi="Bookman Old Style"/>
        </w:rPr>
      </w:pPr>
    </w:p>
    <w:p w14:paraId="5EAA90BE" w14:textId="6DB80418" w:rsidR="00B96149" w:rsidRDefault="00B96149" w:rsidP="00B96149">
      <w:pPr>
        <w:pStyle w:val="ListParagraph"/>
        <w:numPr>
          <w:ilvl w:val="0"/>
          <w:numId w:val="15"/>
        </w:numPr>
        <w:ind w:left="1440" w:hanging="720"/>
        <w:jc w:val="both"/>
        <w:rPr>
          <w:rFonts w:ascii="Bookman Old Style" w:hAnsi="Bookman Old Style"/>
        </w:rPr>
      </w:pPr>
      <w:r>
        <w:rPr>
          <w:rFonts w:ascii="Bookman Old Style" w:hAnsi="Bookman Old Style"/>
        </w:rPr>
        <w:t>“Transportation”</w:t>
      </w:r>
    </w:p>
    <w:p w14:paraId="4781F64B" w14:textId="2823B4BF" w:rsidR="00B96149" w:rsidRDefault="00B96149" w:rsidP="00B96149">
      <w:pPr>
        <w:jc w:val="both"/>
        <w:rPr>
          <w:rFonts w:ascii="Bookman Old Style" w:hAnsi="Bookman Old Style"/>
        </w:rPr>
      </w:pPr>
    </w:p>
    <w:p w14:paraId="2313F2E0" w14:textId="44ECAB70" w:rsidR="00B96149" w:rsidRDefault="00B96149" w:rsidP="00B96149">
      <w:pPr>
        <w:jc w:val="both"/>
        <w:rPr>
          <w:rFonts w:ascii="Bookman Old Style" w:hAnsi="Bookman Old Style"/>
        </w:rPr>
      </w:pPr>
      <w:r>
        <w:rPr>
          <w:rFonts w:ascii="Bookman Old Style" w:hAnsi="Bookman Old Style"/>
        </w:rPr>
        <w:tab/>
      </w:r>
      <w:r w:rsidRPr="00B96149">
        <w:rPr>
          <w:rFonts w:ascii="Bookman Old Style" w:hAnsi="Bookman Old Style"/>
        </w:rPr>
        <w:t>The December 2019 CBP guidance also addressed short and incidental vessel movements in connection with lifting operations</w:t>
      </w:r>
      <w:r>
        <w:rPr>
          <w:rFonts w:ascii="Bookman Old Style" w:hAnsi="Bookman Old Style"/>
        </w:rPr>
        <w:t xml:space="preserve">.  </w:t>
      </w:r>
      <w:r w:rsidRPr="00B96149">
        <w:rPr>
          <w:rFonts w:ascii="Bookman Old Style" w:hAnsi="Bookman Old Style"/>
        </w:rPr>
        <w:t>Because the Jones Act applies to “any part” of the transportation of merchandise between two U.S. points</w:t>
      </w:r>
      <w:r>
        <w:rPr>
          <w:rFonts w:ascii="Bookman Old Style" w:hAnsi="Bookman Old Style"/>
        </w:rPr>
        <w:t xml:space="preserve">, </w:t>
      </w:r>
      <w:r w:rsidRPr="00B96149">
        <w:rPr>
          <w:rFonts w:ascii="Bookman Old Style" w:hAnsi="Bookman Old Style"/>
        </w:rPr>
        <w:t>CBP issued rulings in 2012, known as the “Koff rulings,” which made it difficult to utilize foreign lift vessels offshore for even very short vessel movements</w:t>
      </w:r>
      <w:r>
        <w:rPr>
          <w:rFonts w:ascii="Bookman Old Style" w:hAnsi="Bookman Old Style"/>
        </w:rPr>
        <w:t xml:space="preserve">.  CBP HQ H225102 (Sep. 21, 2012); CBP HQ H235242 (Nov. 15, 2012).  </w:t>
      </w:r>
    </w:p>
    <w:p w14:paraId="2209284D" w14:textId="4679D17C" w:rsidR="00B96149" w:rsidRDefault="00B96149" w:rsidP="00B96149">
      <w:pPr>
        <w:jc w:val="both"/>
        <w:rPr>
          <w:rFonts w:ascii="Bookman Old Style" w:hAnsi="Bookman Old Style"/>
        </w:rPr>
      </w:pPr>
      <w:r>
        <w:rPr>
          <w:rFonts w:ascii="Bookman Old Style" w:hAnsi="Bookman Old Style"/>
        </w:rPr>
        <w:tab/>
      </w:r>
    </w:p>
    <w:p w14:paraId="7CD9C159" w14:textId="2C24983C" w:rsidR="00B96149" w:rsidRDefault="00B96149" w:rsidP="00B96149">
      <w:pPr>
        <w:jc w:val="both"/>
        <w:rPr>
          <w:rFonts w:ascii="Bookman Old Style" w:hAnsi="Bookman Old Style"/>
        </w:rPr>
      </w:pPr>
      <w:r>
        <w:rPr>
          <w:rFonts w:ascii="Bookman Old Style" w:hAnsi="Bookman Old Style"/>
        </w:rPr>
        <w:tab/>
      </w:r>
      <w:r w:rsidRPr="00B96149">
        <w:rPr>
          <w:rFonts w:ascii="Bookman Old Style" w:hAnsi="Bookman Old Style"/>
        </w:rPr>
        <w:t xml:space="preserve">The 2019 </w:t>
      </w:r>
      <w:r>
        <w:rPr>
          <w:rFonts w:ascii="Bookman Old Style" w:hAnsi="Bookman Old Style"/>
        </w:rPr>
        <w:t>G</w:t>
      </w:r>
      <w:r w:rsidRPr="00B96149">
        <w:rPr>
          <w:rFonts w:ascii="Bookman Old Style" w:hAnsi="Bookman Old Style"/>
        </w:rPr>
        <w:t>uidance provides that “certain lateral movements” of lifting vessels do not constitute “transportation</w:t>
      </w:r>
      <w:r>
        <w:rPr>
          <w:rFonts w:ascii="Bookman Old Style" w:hAnsi="Bookman Old Style"/>
        </w:rPr>
        <w:t>.</w:t>
      </w:r>
      <w:r w:rsidRPr="00B96149">
        <w:rPr>
          <w:rFonts w:ascii="Bookman Old Style" w:hAnsi="Bookman Old Style"/>
        </w:rPr>
        <w:t>”</w:t>
      </w:r>
      <w:r>
        <w:rPr>
          <w:rFonts w:ascii="Bookman Old Style" w:hAnsi="Bookman Old Style"/>
        </w:rPr>
        <w:t xml:space="preserve">  </w:t>
      </w:r>
      <w:r w:rsidRPr="00B96149">
        <w:rPr>
          <w:rFonts w:ascii="Bookman Old Style" w:hAnsi="Bookman Old Style"/>
        </w:rPr>
        <w:t>The limits of what constitute “lateral movements” remains to be fleshed out by CBP in rulings</w:t>
      </w:r>
      <w:r>
        <w:rPr>
          <w:rFonts w:ascii="Bookman Old Style" w:hAnsi="Bookman Old Style"/>
        </w:rPr>
        <w:t xml:space="preserve">.  </w:t>
      </w:r>
      <w:r w:rsidRPr="00B96149">
        <w:rPr>
          <w:rFonts w:ascii="Bookman Old Style" w:hAnsi="Bookman Old Style"/>
        </w:rPr>
        <w:t xml:space="preserve">The December 2019 </w:t>
      </w:r>
      <w:r>
        <w:rPr>
          <w:rFonts w:ascii="Bookman Old Style" w:hAnsi="Bookman Old Style"/>
        </w:rPr>
        <w:t>G</w:t>
      </w:r>
      <w:r w:rsidRPr="00B96149">
        <w:rPr>
          <w:rFonts w:ascii="Bookman Old Style" w:hAnsi="Bookman Old Style"/>
        </w:rPr>
        <w:t xml:space="preserve">uidance was </w:t>
      </w:r>
      <w:r>
        <w:rPr>
          <w:rFonts w:ascii="Bookman Old Style" w:hAnsi="Bookman Old Style"/>
        </w:rPr>
        <w:t xml:space="preserve">also </w:t>
      </w:r>
      <w:r w:rsidRPr="00B96149">
        <w:rPr>
          <w:rFonts w:ascii="Bookman Old Style" w:hAnsi="Bookman Old Style"/>
        </w:rPr>
        <w:t xml:space="preserve">challenged in the pending </w:t>
      </w:r>
      <w:r w:rsidR="00CC0B1D">
        <w:rPr>
          <w:rFonts w:ascii="Bookman Old Style" w:hAnsi="Bookman Old Style"/>
        </w:rPr>
        <w:t>“vessel equipment” litigation</w:t>
      </w:r>
      <w:r>
        <w:rPr>
          <w:rFonts w:ascii="Bookman Old Style" w:hAnsi="Bookman Old Style"/>
        </w:rPr>
        <w:t>.</w:t>
      </w:r>
    </w:p>
    <w:p w14:paraId="39AEA34A" w14:textId="7BBB1BF4" w:rsidR="00C07466" w:rsidRDefault="00C07466" w:rsidP="00B96149">
      <w:pPr>
        <w:jc w:val="both"/>
        <w:rPr>
          <w:rFonts w:ascii="Bookman Old Style" w:hAnsi="Bookman Old Style"/>
        </w:rPr>
      </w:pPr>
    </w:p>
    <w:p w14:paraId="542C6A2F" w14:textId="66921B5D" w:rsidR="00C07466" w:rsidRDefault="00C07466" w:rsidP="00C07466">
      <w:pPr>
        <w:pStyle w:val="ListParagraph"/>
        <w:numPr>
          <w:ilvl w:val="0"/>
          <w:numId w:val="11"/>
        </w:numPr>
        <w:ind w:left="720"/>
        <w:jc w:val="both"/>
        <w:rPr>
          <w:rFonts w:ascii="Bookman Old Style" w:hAnsi="Bookman Old Style"/>
          <w:u w:val="single"/>
        </w:rPr>
      </w:pPr>
      <w:r w:rsidRPr="00C07466">
        <w:rPr>
          <w:rFonts w:ascii="Bookman Old Style" w:hAnsi="Bookman Old Style"/>
          <w:u w:val="single"/>
        </w:rPr>
        <w:t>Jones Act Applied to Wind</w:t>
      </w:r>
    </w:p>
    <w:p w14:paraId="0E30BD6B" w14:textId="4DB891D9" w:rsidR="00C07466" w:rsidRDefault="00C07466" w:rsidP="00C07466">
      <w:pPr>
        <w:jc w:val="both"/>
        <w:rPr>
          <w:rFonts w:ascii="Bookman Old Style" w:hAnsi="Bookman Old Style"/>
          <w:u w:val="single"/>
        </w:rPr>
      </w:pPr>
    </w:p>
    <w:p w14:paraId="3CC00680" w14:textId="2139FADA" w:rsidR="00C07466" w:rsidRDefault="00C07466" w:rsidP="00C07466">
      <w:pPr>
        <w:pStyle w:val="ListParagraph"/>
        <w:numPr>
          <w:ilvl w:val="0"/>
          <w:numId w:val="16"/>
        </w:numPr>
        <w:ind w:left="1440" w:hanging="720"/>
        <w:jc w:val="both"/>
        <w:rPr>
          <w:rFonts w:ascii="Bookman Old Style" w:hAnsi="Bookman Old Style"/>
        </w:rPr>
      </w:pPr>
      <w:r>
        <w:rPr>
          <w:rFonts w:ascii="Bookman Old Style" w:hAnsi="Bookman Old Style"/>
        </w:rPr>
        <w:t>Survey</w:t>
      </w:r>
    </w:p>
    <w:p w14:paraId="4859468D" w14:textId="3321AD6D" w:rsidR="00C07466" w:rsidRDefault="00C07466" w:rsidP="00C07466">
      <w:pPr>
        <w:jc w:val="both"/>
        <w:rPr>
          <w:rFonts w:ascii="Bookman Old Style" w:hAnsi="Bookman Old Style"/>
        </w:rPr>
      </w:pPr>
    </w:p>
    <w:p w14:paraId="2E070D75" w14:textId="124FFBAE" w:rsidR="00C07466" w:rsidRDefault="00C07466" w:rsidP="00C07466">
      <w:pPr>
        <w:jc w:val="both"/>
        <w:rPr>
          <w:rFonts w:ascii="Bookman Old Style" w:hAnsi="Bookman Old Style"/>
        </w:rPr>
      </w:pPr>
      <w:r>
        <w:rPr>
          <w:rFonts w:ascii="Bookman Old Style" w:hAnsi="Bookman Old Style"/>
        </w:rPr>
        <w:tab/>
        <w:t xml:space="preserve">CBP has long held that the use of a vessel solely to engage in oceanographic research is not coastwise trade.  </w:t>
      </w:r>
      <w:r w:rsidRPr="00C07466">
        <w:rPr>
          <w:rFonts w:ascii="Bookman Old Style" w:hAnsi="Bookman Old Style"/>
        </w:rPr>
        <w:t>CBP HQ H116602 (Jan. 30, 2006).</w:t>
      </w:r>
      <w:r>
        <w:rPr>
          <w:rFonts w:ascii="Bookman Old Style" w:hAnsi="Bookman Old Style"/>
        </w:rPr>
        <w:t xml:space="preserve">  </w:t>
      </w:r>
      <w:r w:rsidRPr="00C07466">
        <w:rPr>
          <w:rFonts w:ascii="Bookman Old Style" w:hAnsi="Bookman Old Style"/>
        </w:rPr>
        <w:t>As part of such oceanographic research, it is also well settled that any supplies or equipment carried aboard the vessel and necessary for the research would not be considered merchandise</w:t>
      </w:r>
      <w:r w:rsidR="00CC0B1D">
        <w:rPr>
          <w:rFonts w:ascii="Bookman Old Style" w:hAnsi="Bookman Old Style"/>
        </w:rPr>
        <w:t xml:space="preserve">.  </w:t>
      </w:r>
      <w:r w:rsidR="00CC0B1D" w:rsidRPr="00CC0B1D">
        <w:rPr>
          <w:rFonts w:ascii="Bookman Old Style" w:hAnsi="Bookman Old Style"/>
          <w:i/>
          <w:iCs/>
        </w:rPr>
        <w:t xml:space="preserve">Id.  </w:t>
      </w:r>
      <w:r w:rsidRPr="00C07466">
        <w:rPr>
          <w:rFonts w:ascii="Bookman Old Style" w:hAnsi="Bookman Old Style"/>
        </w:rPr>
        <w:t xml:space="preserve">However, care must still be taken that the vessel is not used just to transport cargoes or personnel from </w:t>
      </w:r>
      <w:r w:rsidR="00CC0B1D">
        <w:rPr>
          <w:rFonts w:ascii="Bookman Old Style" w:hAnsi="Bookman Old Style"/>
        </w:rPr>
        <w:t xml:space="preserve">one </w:t>
      </w:r>
      <w:r w:rsidRPr="00C07466">
        <w:rPr>
          <w:rFonts w:ascii="Bookman Old Style" w:hAnsi="Bookman Old Style"/>
        </w:rPr>
        <w:br/>
        <w:t xml:space="preserve">U.S. point to </w:t>
      </w:r>
      <w:r w:rsidR="00CC0B1D">
        <w:rPr>
          <w:rFonts w:ascii="Bookman Old Style" w:hAnsi="Bookman Old Style"/>
        </w:rPr>
        <w:t xml:space="preserve">another </w:t>
      </w:r>
      <w:r w:rsidRPr="00C07466">
        <w:rPr>
          <w:rFonts w:ascii="Bookman Old Style" w:hAnsi="Bookman Old Style"/>
        </w:rPr>
        <w:t>U.S. point</w:t>
      </w:r>
      <w:r w:rsidR="00056809">
        <w:rPr>
          <w:rFonts w:ascii="Bookman Old Style" w:hAnsi="Bookman Old Style"/>
        </w:rPr>
        <w:t xml:space="preserve"> in violation of the limits placed by oceanographic rulings</w:t>
      </w:r>
      <w:r w:rsidR="00CC0B1D">
        <w:rPr>
          <w:rFonts w:ascii="Bookman Old Style" w:hAnsi="Bookman Old Style"/>
        </w:rPr>
        <w:t xml:space="preserve">.  </w:t>
      </w:r>
      <w:r w:rsidRPr="00C07466">
        <w:rPr>
          <w:rFonts w:ascii="Bookman Old Style" w:hAnsi="Bookman Old Style"/>
        </w:rPr>
        <w:t>Moreover, OMSA has challenged the movement of research anodes from one place on the seabed to another place on the seabed by a foreign vessel in the “vessel equipment” litigation</w:t>
      </w:r>
      <w:r w:rsidR="00CC0B1D">
        <w:rPr>
          <w:rFonts w:ascii="Bookman Old Style" w:hAnsi="Bookman Old Style"/>
        </w:rPr>
        <w:t>.</w:t>
      </w:r>
    </w:p>
    <w:p w14:paraId="41E6B4EF" w14:textId="4AB8127C" w:rsidR="00CC0B1D" w:rsidRDefault="00CC0B1D" w:rsidP="00C07466">
      <w:pPr>
        <w:jc w:val="both"/>
        <w:rPr>
          <w:rFonts w:ascii="Bookman Old Style" w:hAnsi="Bookman Old Style"/>
        </w:rPr>
      </w:pPr>
    </w:p>
    <w:p w14:paraId="12A9FAD6" w14:textId="7F07F901" w:rsidR="00CC0B1D" w:rsidRDefault="00CC0B1D" w:rsidP="00CC0B1D">
      <w:pPr>
        <w:pStyle w:val="ListParagraph"/>
        <w:numPr>
          <w:ilvl w:val="0"/>
          <w:numId w:val="16"/>
        </w:numPr>
        <w:jc w:val="both"/>
        <w:rPr>
          <w:rFonts w:ascii="Bookman Old Style" w:hAnsi="Bookman Old Style"/>
        </w:rPr>
      </w:pPr>
      <w:r>
        <w:rPr>
          <w:rFonts w:ascii="Bookman Old Style" w:hAnsi="Bookman Old Style"/>
        </w:rPr>
        <w:tab/>
        <w:t xml:space="preserve">Foundations and Scour Protection </w:t>
      </w:r>
    </w:p>
    <w:p w14:paraId="6FE8932C" w14:textId="5CCF16ED" w:rsidR="00CC0B1D" w:rsidRDefault="00CC0B1D" w:rsidP="00CC0B1D">
      <w:pPr>
        <w:jc w:val="both"/>
        <w:rPr>
          <w:rFonts w:ascii="Bookman Old Style" w:hAnsi="Bookman Old Style"/>
        </w:rPr>
      </w:pPr>
    </w:p>
    <w:p w14:paraId="39E01D3B" w14:textId="469F4FBB" w:rsidR="00CC0B1D" w:rsidRDefault="00CC0B1D" w:rsidP="00CC0B1D">
      <w:pPr>
        <w:jc w:val="both"/>
        <w:rPr>
          <w:rFonts w:ascii="Bookman Old Style" w:hAnsi="Bookman Old Style"/>
        </w:rPr>
      </w:pPr>
      <w:r>
        <w:rPr>
          <w:rFonts w:ascii="Bookman Old Style" w:hAnsi="Bookman Old Style"/>
        </w:rPr>
        <w:tab/>
      </w:r>
      <w:r w:rsidRPr="00CC0B1D">
        <w:rPr>
          <w:rFonts w:ascii="Bookman Old Style" w:hAnsi="Bookman Old Style"/>
        </w:rPr>
        <w:t>CBP ruled on January 27, 2021 that entire pristine seabed for purposes of scour protection installation is a “point in the United States.”</w:t>
      </w:r>
      <w:r>
        <w:rPr>
          <w:rFonts w:ascii="Bookman Old Style" w:hAnsi="Bookman Old Style"/>
        </w:rPr>
        <w:t xml:space="preserve">  CBP HQ H309186 (Jan. 27, 2021). This c</w:t>
      </w:r>
      <w:r w:rsidRPr="00CC0B1D">
        <w:rPr>
          <w:rFonts w:ascii="Bookman Old Style" w:hAnsi="Bookman Old Style"/>
        </w:rPr>
        <w:t>aused an uproar in the oil and gas/renewable communities</w:t>
      </w:r>
      <w:r>
        <w:rPr>
          <w:rFonts w:ascii="Bookman Old Style" w:hAnsi="Bookman Old Style"/>
        </w:rPr>
        <w:t xml:space="preserve">.  </w:t>
      </w:r>
      <w:r w:rsidRPr="00CC0B1D">
        <w:rPr>
          <w:rFonts w:ascii="Bookman Old Style" w:hAnsi="Bookman Old Style"/>
        </w:rPr>
        <w:t>CBP reversed itself on March 25, 2021</w:t>
      </w:r>
      <w:r>
        <w:rPr>
          <w:rFonts w:ascii="Bookman Old Style" w:hAnsi="Bookman Old Style"/>
        </w:rPr>
        <w:t xml:space="preserve"> when it </w:t>
      </w:r>
      <w:r w:rsidRPr="00CC0B1D">
        <w:rPr>
          <w:rFonts w:ascii="Bookman Old Style" w:hAnsi="Bookman Old Style"/>
        </w:rPr>
        <w:t>rul</w:t>
      </w:r>
      <w:r>
        <w:rPr>
          <w:rFonts w:ascii="Bookman Old Style" w:hAnsi="Bookman Old Style"/>
        </w:rPr>
        <w:t>ed</w:t>
      </w:r>
      <w:r w:rsidRPr="00CC0B1D">
        <w:rPr>
          <w:rFonts w:ascii="Bookman Old Style" w:hAnsi="Bookman Old Style"/>
        </w:rPr>
        <w:t xml:space="preserve"> that an installed foundation or first layer of scour protection creates a “point in the </w:t>
      </w:r>
      <w:r w:rsidRPr="00CC0B1D">
        <w:rPr>
          <w:rFonts w:ascii="Bookman Old Style" w:hAnsi="Bookman Old Style"/>
        </w:rPr>
        <w:lastRenderedPageBreak/>
        <w:t xml:space="preserve">United States” and that a “vicinity” around a foundation is part of the “point” – but </w:t>
      </w:r>
      <w:r w:rsidR="00A45D0B">
        <w:rPr>
          <w:rFonts w:ascii="Bookman Old Style" w:hAnsi="Bookman Old Style"/>
        </w:rPr>
        <w:t xml:space="preserve">the </w:t>
      </w:r>
      <w:r w:rsidRPr="00CC0B1D">
        <w:rPr>
          <w:rFonts w:ascii="Bookman Old Style" w:hAnsi="Bookman Old Style"/>
        </w:rPr>
        <w:t>pristine seabed is not a “point.”</w:t>
      </w:r>
      <w:r>
        <w:rPr>
          <w:rFonts w:ascii="Bookman Old Style" w:hAnsi="Bookman Old Style"/>
        </w:rPr>
        <w:t xml:space="preserve">  CBP HQ H317289 (Mar. 25, 2021).  There remains a </w:t>
      </w:r>
      <w:r w:rsidRPr="00CC0B1D">
        <w:rPr>
          <w:rFonts w:ascii="Bookman Old Style" w:hAnsi="Bookman Old Style"/>
        </w:rPr>
        <w:t xml:space="preserve">challenge based on </w:t>
      </w:r>
      <w:r>
        <w:rPr>
          <w:rFonts w:ascii="Bookman Old Style" w:hAnsi="Bookman Old Style"/>
        </w:rPr>
        <w:t xml:space="preserve">the </w:t>
      </w:r>
      <w:r w:rsidRPr="00CC0B1D">
        <w:rPr>
          <w:rFonts w:ascii="Bookman Old Style" w:hAnsi="Bookman Old Style"/>
        </w:rPr>
        <w:t>rocks not being an “installation and other device” and there being no “vicinity” concept in the law</w:t>
      </w:r>
      <w:r>
        <w:rPr>
          <w:rFonts w:ascii="Bookman Old Style" w:hAnsi="Bookman Old Style"/>
        </w:rPr>
        <w:t>.</w:t>
      </w:r>
    </w:p>
    <w:p w14:paraId="45EA2EA1" w14:textId="77777777" w:rsidR="00A45D0B" w:rsidRPr="00CC0B1D" w:rsidRDefault="00A45D0B" w:rsidP="00CC0B1D">
      <w:pPr>
        <w:jc w:val="both"/>
        <w:rPr>
          <w:rFonts w:ascii="Bookman Old Style" w:hAnsi="Bookman Old Style"/>
        </w:rPr>
      </w:pPr>
    </w:p>
    <w:p w14:paraId="5FEAE1A2" w14:textId="2E9C1E5C" w:rsidR="00CC0B1D" w:rsidRDefault="00CC0B1D" w:rsidP="00CC0B1D">
      <w:pPr>
        <w:jc w:val="both"/>
        <w:rPr>
          <w:rFonts w:ascii="Bookman Old Style" w:hAnsi="Bookman Old Style"/>
        </w:rPr>
      </w:pPr>
      <w:r>
        <w:rPr>
          <w:rFonts w:ascii="Bookman Old Style" w:hAnsi="Bookman Old Style"/>
        </w:rPr>
        <w:tab/>
        <w:t xml:space="preserve">At least under the March 2021 ruling, </w:t>
      </w:r>
      <w:r w:rsidRPr="00CC0B1D">
        <w:rPr>
          <w:rFonts w:ascii="Bookman Old Style" w:hAnsi="Bookman Old Style"/>
        </w:rPr>
        <w:t>a foreign vessel can pick up a foundation and install it on the U.S. OCS</w:t>
      </w:r>
      <w:r>
        <w:rPr>
          <w:rFonts w:ascii="Bookman Old Style" w:hAnsi="Bookman Old Style"/>
        </w:rPr>
        <w:t xml:space="preserve"> provided there is nothing there preceding the foundation.  </w:t>
      </w:r>
      <w:r w:rsidRPr="00CC0B1D">
        <w:rPr>
          <w:rFonts w:ascii="Bookman Old Style" w:hAnsi="Bookman Old Style"/>
        </w:rPr>
        <w:t xml:space="preserve">A foreign vessel can also pick rocks for scour protection and lay a pattern preceding the foundation; subsequent layers </w:t>
      </w:r>
      <w:r>
        <w:rPr>
          <w:rFonts w:ascii="Bookman Old Style" w:hAnsi="Bookman Old Style"/>
        </w:rPr>
        <w:t>which come from the U.S. must arrive in a qualified U.S.-flag vessel.</w:t>
      </w:r>
    </w:p>
    <w:p w14:paraId="36458D15" w14:textId="25423A6B" w:rsidR="00497DB1" w:rsidRDefault="00497DB1" w:rsidP="00CC0B1D">
      <w:pPr>
        <w:jc w:val="both"/>
        <w:rPr>
          <w:rFonts w:ascii="Bookman Old Style" w:hAnsi="Bookman Old Style"/>
        </w:rPr>
      </w:pPr>
    </w:p>
    <w:p w14:paraId="78C7E1E6" w14:textId="2193D8F6" w:rsidR="00497DB1" w:rsidRPr="00497DB1" w:rsidRDefault="00497DB1" w:rsidP="00497DB1">
      <w:pPr>
        <w:pStyle w:val="ListParagraph"/>
        <w:numPr>
          <w:ilvl w:val="0"/>
          <w:numId w:val="16"/>
        </w:numPr>
        <w:ind w:left="1440" w:hanging="720"/>
        <w:jc w:val="both"/>
        <w:rPr>
          <w:rFonts w:ascii="Bookman Old Style" w:hAnsi="Bookman Old Style"/>
        </w:rPr>
      </w:pPr>
      <w:r>
        <w:rPr>
          <w:rFonts w:ascii="Bookman Old Style" w:hAnsi="Bookman Old Style"/>
        </w:rPr>
        <w:t>Foundation and Scour Protection</w:t>
      </w:r>
    </w:p>
    <w:p w14:paraId="5D2BCEE4" w14:textId="77777777" w:rsidR="00497DB1" w:rsidRDefault="00497DB1" w:rsidP="00497DB1">
      <w:pPr>
        <w:jc w:val="both"/>
        <w:rPr>
          <w:rFonts w:ascii="Bookman Old Style" w:hAnsi="Bookman Old Style"/>
        </w:rPr>
      </w:pPr>
    </w:p>
    <w:p w14:paraId="113EFD3A" w14:textId="38DBDDA1" w:rsidR="00CC0B1D" w:rsidRDefault="00497DB1" w:rsidP="00497DB1">
      <w:pPr>
        <w:jc w:val="both"/>
        <w:rPr>
          <w:rFonts w:ascii="Bookman Old Style" w:hAnsi="Bookman Old Style"/>
        </w:rPr>
      </w:pPr>
      <w:r>
        <w:rPr>
          <w:rFonts w:ascii="Bookman Old Style" w:hAnsi="Bookman Old Style"/>
        </w:rPr>
        <w:tab/>
      </w:r>
      <w:r w:rsidRPr="00497DB1">
        <w:rPr>
          <w:rFonts w:ascii="Bookman Old Style" w:hAnsi="Bookman Old Style"/>
        </w:rPr>
        <w:t>Installation of a foundation undeniably creates a “point in the United States.”</w:t>
      </w:r>
      <w:r>
        <w:rPr>
          <w:rFonts w:ascii="Bookman Old Style" w:hAnsi="Bookman Old Style"/>
        </w:rPr>
        <w:t xml:space="preserve">  </w:t>
      </w:r>
      <w:r w:rsidRPr="00497DB1">
        <w:rPr>
          <w:rFonts w:ascii="Bookman Old Style" w:hAnsi="Bookman Old Style"/>
        </w:rPr>
        <w:t>Any “merchandise” brought to that “point” from the U.S. must be</w:t>
      </w:r>
      <w:r>
        <w:rPr>
          <w:rFonts w:ascii="Bookman Old Style" w:hAnsi="Bookman Old Style"/>
        </w:rPr>
        <w:t xml:space="preserve"> transported by a qualified U.S.-flag vessel.  However, a f</w:t>
      </w:r>
      <w:r w:rsidRPr="00497DB1">
        <w:rPr>
          <w:rFonts w:ascii="Bookman Old Style" w:hAnsi="Bookman Old Style"/>
        </w:rPr>
        <w:t>oreign installation vessel can remain in place and perform the entire installation.</w:t>
      </w:r>
      <w:r>
        <w:rPr>
          <w:rFonts w:ascii="Bookman Old Style" w:hAnsi="Bookman Old Style"/>
        </w:rPr>
        <w:t xml:space="preserve">  </w:t>
      </w:r>
      <w:r w:rsidRPr="00497DB1">
        <w:rPr>
          <w:rFonts w:ascii="Bookman Old Style" w:hAnsi="Bookman Old Style"/>
        </w:rPr>
        <w:t>This leads to the U.S. flag feeder/foreign installation vessel model.</w:t>
      </w:r>
      <w:r>
        <w:rPr>
          <w:rFonts w:ascii="Bookman Old Style" w:hAnsi="Bookman Old Style"/>
        </w:rPr>
        <w:t xml:space="preserve">  </w:t>
      </w:r>
      <w:r w:rsidRPr="00497DB1">
        <w:rPr>
          <w:rFonts w:ascii="Bookman Old Style" w:hAnsi="Bookman Old Style"/>
        </w:rPr>
        <w:t>Lifting guidance would also appear to grant foreign installation vessel the right to move short distances at least with items on hook.</w:t>
      </w:r>
    </w:p>
    <w:p w14:paraId="65D24187" w14:textId="4E28C24A" w:rsidR="00497DB1" w:rsidRDefault="00497DB1" w:rsidP="00497DB1">
      <w:pPr>
        <w:jc w:val="both"/>
        <w:rPr>
          <w:rFonts w:ascii="Bookman Old Style" w:hAnsi="Bookman Old Style"/>
        </w:rPr>
      </w:pPr>
    </w:p>
    <w:p w14:paraId="0CB28074" w14:textId="68C28A27" w:rsidR="00497DB1" w:rsidRDefault="00497DB1" w:rsidP="00497DB1">
      <w:pPr>
        <w:jc w:val="both"/>
        <w:rPr>
          <w:rFonts w:ascii="Bookman Old Style" w:hAnsi="Bookman Old Style"/>
        </w:rPr>
      </w:pPr>
      <w:r>
        <w:rPr>
          <w:rFonts w:ascii="Bookman Old Style" w:hAnsi="Bookman Old Style"/>
        </w:rPr>
        <w:tab/>
      </w:r>
      <w:r w:rsidRPr="00497DB1">
        <w:rPr>
          <w:rFonts w:ascii="Bookman Old Style" w:hAnsi="Bookman Old Style"/>
        </w:rPr>
        <w:t>CBP</w:t>
      </w:r>
      <w:r>
        <w:rPr>
          <w:rFonts w:ascii="Bookman Old Style" w:hAnsi="Bookman Old Style"/>
        </w:rPr>
        <w:t>’s</w:t>
      </w:r>
      <w:r w:rsidRPr="00497DB1">
        <w:rPr>
          <w:rFonts w:ascii="Bookman Old Style" w:hAnsi="Bookman Old Style"/>
        </w:rPr>
        <w:t xml:space="preserve"> February, 2021 ruling appears to indicate that items incidental to installation, such as blade cassettes, are “vessel equipment” – similarly for tools, expendables etc. place</w:t>
      </w:r>
      <w:r w:rsidR="00A45D0B">
        <w:rPr>
          <w:rFonts w:ascii="Bookman Old Style" w:hAnsi="Bookman Old Style"/>
        </w:rPr>
        <w:t>d</w:t>
      </w:r>
      <w:r w:rsidRPr="00497DB1">
        <w:rPr>
          <w:rFonts w:ascii="Bookman Old Style" w:hAnsi="Bookman Old Style"/>
        </w:rPr>
        <w:t xml:space="preserve"> onto the tower some of which are left behind – and can be transported by a foreign installation vessel between work sites.</w:t>
      </w:r>
      <w:r>
        <w:rPr>
          <w:rFonts w:ascii="Bookman Old Style" w:hAnsi="Bookman Old Style"/>
        </w:rPr>
        <w:t xml:space="preserve">  The </w:t>
      </w:r>
      <w:r w:rsidRPr="00497DB1">
        <w:rPr>
          <w:rFonts w:ascii="Bookman Old Style" w:hAnsi="Bookman Old Style"/>
        </w:rPr>
        <w:t>February 4 ruling also appears to indicate that all of the installation-related personnel including persons who work primarily off the vessel on the tower are crew and not “passengers.”</w:t>
      </w:r>
      <w:r>
        <w:rPr>
          <w:rFonts w:ascii="Bookman Old Style" w:hAnsi="Bookman Old Style"/>
        </w:rPr>
        <w:tab/>
      </w:r>
    </w:p>
    <w:p w14:paraId="09A596AB" w14:textId="77777777" w:rsidR="00497DB1" w:rsidRDefault="00497DB1" w:rsidP="00497DB1">
      <w:pPr>
        <w:jc w:val="both"/>
        <w:rPr>
          <w:rFonts w:ascii="Bookman Old Style" w:hAnsi="Bookman Old Style"/>
        </w:rPr>
      </w:pPr>
    </w:p>
    <w:p w14:paraId="2F7FE16C" w14:textId="7FE0E0C7" w:rsidR="00497DB1" w:rsidRDefault="00285159" w:rsidP="00285159">
      <w:pPr>
        <w:pStyle w:val="ListParagraph"/>
        <w:numPr>
          <w:ilvl w:val="0"/>
          <w:numId w:val="16"/>
        </w:numPr>
        <w:ind w:left="1440" w:hanging="720"/>
        <w:jc w:val="both"/>
        <w:rPr>
          <w:rFonts w:ascii="Bookman Old Style" w:hAnsi="Bookman Old Style"/>
        </w:rPr>
      </w:pPr>
      <w:r>
        <w:rPr>
          <w:rFonts w:ascii="Bookman Old Style" w:hAnsi="Bookman Old Style"/>
        </w:rPr>
        <w:t>Cable Installation</w:t>
      </w:r>
    </w:p>
    <w:p w14:paraId="711C38A4" w14:textId="1DF77250" w:rsidR="00285159" w:rsidRDefault="00285159" w:rsidP="00285159">
      <w:pPr>
        <w:jc w:val="both"/>
        <w:rPr>
          <w:rFonts w:ascii="Bookman Old Style" w:hAnsi="Bookman Old Style"/>
        </w:rPr>
      </w:pPr>
    </w:p>
    <w:p w14:paraId="130E66E9" w14:textId="77777777" w:rsidR="00A45D0B" w:rsidRDefault="00285159" w:rsidP="00285159">
      <w:pPr>
        <w:tabs>
          <w:tab w:val="left" w:pos="720"/>
          <w:tab w:val="left" w:pos="1926"/>
        </w:tabs>
        <w:jc w:val="both"/>
        <w:rPr>
          <w:rFonts w:ascii="Bookman Old Style" w:hAnsi="Bookman Old Style"/>
        </w:rPr>
      </w:pPr>
      <w:r>
        <w:rPr>
          <w:rFonts w:ascii="Bookman Old Style" w:hAnsi="Bookman Old Style"/>
        </w:rPr>
        <w:tab/>
      </w:r>
      <w:r w:rsidRPr="00285159">
        <w:rPr>
          <w:rFonts w:ascii="Bookman Old Style" w:hAnsi="Bookman Old Style"/>
        </w:rPr>
        <w:t>Cable lay between U.S. points by a foreign vessel</w:t>
      </w:r>
      <w:r>
        <w:rPr>
          <w:rFonts w:ascii="Bookman Old Style" w:hAnsi="Bookman Old Style"/>
        </w:rPr>
        <w:t xml:space="preserve"> is</w:t>
      </w:r>
      <w:r w:rsidRPr="00285159">
        <w:rPr>
          <w:rFonts w:ascii="Bookman Old Style" w:hAnsi="Bookman Old Style"/>
        </w:rPr>
        <w:t xml:space="preserve"> generally permitted</w:t>
      </w:r>
      <w:r>
        <w:rPr>
          <w:rFonts w:ascii="Bookman Old Style" w:hAnsi="Bookman Old Style"/>
        </w:rPr>
        <w:t xml:space="preserve"> under the theory that the cable is not transported between two U.S. points but rather is </w:t>
      </w:r>
      <w:r w:rsidRPr="00285159">
        <w:rPr>
          <w:rFonts w:ascii="Bookman Old Style" w:hAnsi="Bookman Old Style"/>
        </w:rPr>
        <w:t>“paid out, but not unladen</w:t>
      </w:r>
      <w:r>
        <w:rPr>
          <w:rFonts w:ascii="Bookman Old Style" w:hAnsi="Bookman Old Style"/>
        </w:rPr>
        <w:t>.</w:t>
      </w:r>
      <w:r w:rsidRPr="00285159">
        <w:rPr>
          <w:rFonts w:ascii="Bookman Old Style" w:hAnsi="Bookman Old Style"/>
        </w:rPr>
        <w:t>”</w:t>
      </w:r>
      <w:r>
        <w:rPr>
          <w:rFonts w:ascii="Bookman Old Style" w:hAnsi="Bookman Old Style"/>
        </w:rPr>
        <w:t xml:space="preserve">  E.g.</w:t>
      </w:r>
      <w:r w:rsidR="0035761D">
        <w:rPr>
          <w:rFonts w:ascii="Bookman Old Style" w:hAnsi="Bookman Old Style"/>
        </w:rPr>
        <w:t>, CBP</w:t>
      </w:r>
      <w:r>
        <w:rPr>
          <w:rFonts w:ascii="Bookman Old Style" w:hAnsi="Bookman Old Style"/>
        </w:rPr>
        <w:t xml:space="preserve"> </w:t>
      </w:r>
      <w:r w:rsidR="0035761D" w:rsidRPr="0035761D">
        <w:rPr>
          <w:rFonts w:ascii="Bookman Old Style" w:hAnsi="Bookman Old Style"/>
        </w:rPr>
        <w:t>HQ 115431 (Sep. 4, 2001)</w:t>
      </w:r>
      <w:r w:rsidR="0035761D">
        <w:rPr>
          <w:rFonts w:ascii="Bookman Old Style" w:hAnsi="Bookman Old Style"/>
        </w:rPr>
        <w:t xml:space="preserve">.  CBP confirmed this for offshore in on August 31, 2020 with a ruling relating to a state waters project.  CBP HQ H311603 (Aug. 31, 2020). </w:t>
      </w:r>
    </w:p>
    <w:p w14:paraId="41BB0CE9" w14:textId="77777777" w:rsidR="00A45D0B" w:rsidRDefault="00A45D0B" w:rsidP="00285159">
      <w:pPr>
        <w:tabs>
          <w:tab w:val="left" w:pos="720"/>
          <w:tab w:val="left" w:pos="1926"/>
        </w:tabs>
        <w:jc w:val="both"/>
        <w:rPr>
          <w:rFonts w:ascii="Bookman Old Style" w:hAnsi="Bookman Old Style"/>
        </w:rPr>
      </w:pPr>
    </w:p>
    <w:p w14:paraId="565B247D" w14:textId="5E26A37D" w:rsidR="00285159" w:rsidRDefault="00A45D0B" w:rsidP="00285159">
      <w:pPr>
        <w:tabs>
          <w:tab w:val="left" w:pos="720"/>
          <w:tab w:val="left" w:pos="1926"/>
        </w:tabs>
        <w:jc w:val="both"/>
        <w:rPr>
          <w:rFonts w:ascii="Bookman Old Style" w:hAnsi="Bookman Old Style"/>
        </w:rPr>
      </w:pPr>
      <w:r>
        <w:rPr>
          <w:rFonts w:ascii="Bookman Old Style" w:hAnsi="Bookman Old Style"/>
        </w:rPr>
        <w:tab/>
      </w:r>
      <w:r w:rsidR="0035761D">
        <w:rPr>
          <w:rFonts w:ascii="Bookman Old Style" w:hAnsi="Bookman Old Style"/>
        </w:rPr>
        <w:t xml:space="preserve">Activities permitted by a foreign vessel – (1) load cable in a U.S. port and lay it from that port in U.S. waters to another U.S. point; (2) load cable in a foreign port and deliver it to a U.S. port; and (3) pick up cable from the seabed outside U.S. territorial waters and deliver it to a U.S. port.  Activities not permitted for a foreign vessel – (1) load cable in one U.S. port and deliver it to another U.S. port; (2) pick up cable from the seabed in U.S. territorial waters and </w:t>
      </w:r>
      <w:r w:rsidR="0035761D">
        <w:rPr>
          <w:rFonts w:ascii="Bookman Old Style" w:hAnsi="Bookman Old Style"/>
        </w:rPr>
        <w:lastRenderedPageBreak/>
        <w:t>deliver it to a U.S. port; and (3) load cable from a storage vessel in U.S. territorial waters even if unanchored, and deliver it to a U.S. port.</w:t>
      </w:r>
    </w:p>
    <w:p w14:paraId="1E695FA7" w14:textId="4B874AA2" w:rsidR="00285159" w:rsidRDefault="00285159" w:rsidP="00285159">
      <w:pPr>
        <w:tabs>
          <w:tab w:val="left" w:pos="720"/>
          <w:tab w:val="left" w:pos="1926"/>
        </w:tabs>
        <w:jc w:val="both"/>
        <w:rPr>
          <w:rFonts w:ascii="Bookman Old Style" w:hAnsi="Bookman Old Style"/>
        </w:rPr>
      </w:pPr>
    </w:p>
    <w:p w14:paraId="2046FA57" w14:textId="09BE1E42" w:rsidR="00285159" w:rsidRDefault="0035761D" w:rsidP="0035761D">
      <w:pPr>
        <w:tabs>
          <w:tab w:val="left" w:pos="720"/>
          <w:tab w:val="left" w:pos="1926"/>
        </w:tabs>
        <w:jc w:val="both"/>
        <w:rPr>
          <w:rFonts w:ascii="Bookman Old Style" w:hAnsi="Bookman Old Style"/>
        </w:rPr>
      </w:pPr>
      <w:r>
        <w:rPr>
          <w:rFonts w:ascii="Bookman Old Style" w:hAnsi="Bookman Old Style"/>
        </w:rPr>
        <w:tab/>
      </w:r>
      <w:r w:rsidRPr="0035761D">
        <w:rPr>
          <w:rFonts w:ascii="Bookman Old Style" w:hAnsi="Bookman Old Style"/>
        </w:rPr>
        <w:t xml:space="preserve">Foreign vessels </w:t>
      </w:r>
      <w:r>
        <w:rPr>
          <w:rFonts w:ascii="Bookman Old Style" w:hAnsi="Bookman Old Style"/>
        </w:rPr>
        <w:t xml:space="preserve">are </w:t>
      </w:r>
      <w:r w:rsidRPr="0035761D">
        <w:rPr>
          <w:rFonts w:ascii="Bookman Old Style" w:hAnsi="Bookman Old Style"/>
        </w:rPr>
        <w:t>prohibited from “dredging” in U.S. waters</w:t>
      </w:r>
      <w:r>
        <w:rPr>
          <w:rFonts w:ascii="Bookman Old Style" w:hAnsi="Bookman Old Style"/>
        </w:rPr>
        <w:t>.</w:t>
      </w:r>
      <w:r w:rsidR="00442DE5">
        <w:rPr>
          <w:rFonts w:ascii="Bookman Old Style" w:hAnsi="Bookman Old Style"/>
        </w:rPr>
        <w:t xml:space="preserve"> 46 U.S.C. § 55109.  </w:t>
      </w:r>
      <w:r w:rsidRPr="0035761D">
        <w:rPr>
          <w:rFonts w:ascii="Bookman Old Style" w:hAnsi="Bookman Old Style"/>
        </w:rPr>
        <w:t>“Dredging” means “the use of a vessel equipped with excavating machinery in digging up or otherwise removing submarine material</w:t>
      </w:r>
      <w:r w:rsidR="005D0D5F">
        <w:rPr>
          <w:rFonts w:ascii="Bookman Old Style" w:hAnsi="Bookman Old Style"/>
        </w:rPr>
        <w:t>.</w:t>
      </w:r>
      <w:r w:rsidRPr="0035761D">
        <w:rPr>
          <w:rFonts w:ascii="Bookman Old Style" w:hAnsi="Bookman Old Style"/>
        </w:rPr>
        <w:t>”</w:t>
      </w:r>
      <w:r w:rsidR="005D0D5F">
        <w:rPr>
          <w:rFonts w:ascii="Bookman Old Style" w:hAnsi="Bookman Old Style"/>
        </w:rPr>
        <w:t xml:space="preserve">  CBP HQ 115580 (Mar. 20, 2002).  </w:t>
      </w:r>
      <w:r w:rsidRPr="0035761D">
        <w:rPr>
          <w:rFonts w:ascii="Bookman Old Style" w:hAnsi="Bookman Old Style"/>
        </w:rPr>
        <w:t>CBP has determined that devices using “jetting action”</w:t>
      </w:r>
      <w:proofErr w:type="gramStart"/>
      <w:r w:rsidRPr="0035761D">
        <w:rPr>
          <w:rFonts w:ascii="Bookman Old Style" w:hAnsi="Bookman Old Style"/>
        </w:rPr>
        <w:t>/“</w:t>
      </w:r>
      <w:proofErr w:type="gramEnd"/>
      <w:r w:rsidRPr="0035761D">
        <w:rPr>
          <w:rFonts w:ascii="Bookman Old Style" w:hAnsi="Bookman Old Style"/>
        </w:rPr>
        <w:t>pressurized water jets” to emulsify the seabed are not “dredging</w:t>
      </w:r>
      <w:r w:rsidR="00391FE7">
        <w:rPr>
          <w:rFonts w:ascii="Bookman Old Style" w:hAnsi="Bookman Old Style"/>
        </w:rPr>
        <w:t>.</w:t>
      </w:r>
      <w:r w:rsidRPr="0035761D">
        <w:rPr>
          <w:rFonts w:ascii="Bookman Old Style" w:hAnsi="Bookman Old Style"/>
        </w:rPr>
        <w:t>”</w:t>
      </w:r>
      <w:r w:rsidR="00391FE7">
        <w:rPr>
          <w:rFonts w:ascii="Bookman Old Style" w:hAnsi="Bookman Old Style"/>
        </w:rPr>
        <w:t xml:space="preserve">  CBP HQ H012082 (Aug. 27, 2007).  </w:t>
      </w:r>
      <w:r w:rsidRPr="0035761D">
        <w:rPr>
          <w:rFonts w:ascii="Bookman Old Style" w:hAnsi="Bookman Old Style"/>
        </w:rPr>
        <w:t>However, devices which “use a mechanical plow or cutter” are “dredging</w:t>
      </w:r>
      <w:r w:rsidR="00391FE7">
        <w:rPr>
          <w:rFonts w:ascii="Bookman Old Style" w:hAnsi="Bookman Old Style"/>
        </w:rPr>
        <w:t>.</w:t>
      </w:r>
      <w:r w:rsidRPr="0035761D">
        <w:rPr>
          <w:rFonts w:ascii="Bookman Old Style" w:hAnsi="Bookman Old Style"/>
        </w:rPr>
        <w:t>”</w:t>
      </w:r>
      <w:r w:rsidR="00391FE7">
        <w:rPr>
          <w:rFonts w:ascii="Bookman Old Style" w:hAnsi="Bookman Old Style"/>
        </w:rPr>
        <w:t xml:space="preserve">   CBP HQ 115580 (Mar. 20, 2002).  It is unclear whether d</w:t>
      </w:r>
      <w:r w:rsidRPr="0035761D">
        <w:rPr>
          <w:rFonts w:ascii="Bookman Old Style" w:hAnsi="Bookman Old Style"/>
        </w:rPr>
        <w:t xml:space="preserve">evices which use some form of both methods </w:t>
      </w:r>
      <w:r w:rsidR="00391FE7">
        <w:rPr>
          <w:rFonts w:ascii="Bookman Old Style" w:hAnsi="Bookman Old Style"/>
        </w:rPr>
        <w:t>constitute “dredging.”</w:t>
      </w:r>
    </w:p>
    <w:sectPr w:rsidR="00285159" w:rsidSect="000723EB">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5D37" w14:textId="77777777" w:rsidR="00585FDF" w:rsidRDefault="00585FDF" w:rsidP="0080695F">
      <w:r>
        <w:separator/>
      </w:r>
    </w:p>
  </w:endnote>
  <w:endnote w:type="continuationSeparator" w:id="0">
    <w:p w14:paraId="037E84ED" w14:textId="77777777" w:rsidR="00585FDF" w:rsidRDefault="00585FDF" w:rsidP="008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F3AC" w14:textId="77777777" w:rsidR="00585FDF" w:rsidRDefault="00585FDF" w:rsidP="0080695F">
      <w:r>
        <w:separator/>
      </w:r>
    </w:p>
  </w:footnote>
  <w:footnote w:type="continuationSeparator" w:id="0">
    <w:p w14:paraId="7DF613EF" w14:textId="77777777" w:rsidR="00585FDF" w:rsidRDefault="00585FDF" w:rsidP="0080695F">
      <w:r>
        <w:continuationSeparator/>
      </w:r>
    </w:p>
  </w:footnote>
  <w:footnote w:id="1">
    <w:p w14:paraId="03BB3C9D" w14:textId="7FDD9604" w:rsidR="0031599F" w:rsidRPr="000723EB" w:rsidRDefault="0031599F">
      <w:pPr>
        <w:pStyle w:val="FootnoteText"/>
        <w:rPr>
          <w:rFonts w:ascii="Bookman Old Style" w:hAnsi="Bookman Old Style"/>
        </w:rPr>
      </w:pPr>
      <w:r w:rsidRPr="000723EB">
        <w:rPr>
          <w:rStyle w:val="FootnoteReference"/>
          <w:rFonts w:ascii="Bookman Old Style" w:hAnsi="Bookman Old Style"/>
        </w:rPr>
        <w:footnoteRef/>
      </w:r>
      <w:r w:rsidRPr="000723EB">
        <w:rPr>
          <w:rFonts w:ascii="Bookman Old Style" w:hAnsi="Bookman Old Style"/>
        </w:rPr>
        <w:t xml:space="preserve"> 24 Stat. 79, 54 Stat. 304 &amp; 34 Stat. 204</w:t>
      </w:r>
      <w:r w:rsidR="00915285" w:rsidRPr="000723EB">
        <w:rPr>
          <w:rFonts w:ascii="Bookman Old Style" w:hAnsi="Bookman Old Sty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color w:val="7F7F7F" w:themeColor="background1" w:themeShade="7F"/>
        <w:spacing w:val="60"/>
      </w:rPr>
      <w:id w:val="799727399"/>
      <w:docPartObj>
        <w:docPartGallery w:val="Page Numbers (Top of Page)"/>
        <w:docPartUnique/>
      </w:docPartObj>
    </w:sdtPr>
    <w:sdtEndPr>
      <w:rPr>
        <w:b/>
        <w:bCs/>
        <w:noProof/>
        <w:color w:val="000000" w:themeColor="text1"/>
        <w:spacing w:val="0"/>
      </w:rPr>
    </w:sdtEndPr>
    <w:sdtContent>
      <w:p w14:paraId="6E6B6EF4" w14:textId="77777777" w:rsidR="000723EB" w:rsidRPr="000723EB" w:rsidRDefault="000723EB">
        <w:pPr>
          <w:pStyle w:val="Header"/>
          <w:pBdr>
            <w:bottom w:val="single" w:sz="4" w:space="1" w:color="D9D9D9" w:themeColor="background1" w:themeShade="D9"/>
          </w:pBdr>
          <w:jc w:val="right"/>
          <w:rPr>
            <w:rFonts w:ascii="Bookman Old Style" w:hAnsi="Bookman Old Style"/>
            <w:b/>
            <w:bCs/>
          </w:rPr>
        </w:pPr>
        <w:r w:rsidRPr="000723EB">
          <w:rPr>
            <w:rFonts w:ascii="Bookman Old Style" w:hAnsi="Bookman Old Style"/>
            <w:color w:val="7F7F7F" w:themeColor="background1" w:themeShade="7F"/>
            <w:spacing w:val="60"/>
          </w:rPr>
          <w:t>Page</w:t>
        </w:r>
        <w:r w:rsidRPr="000723EB">
          <w:rPr>
            <w:rFonts w:ascii="Bookman Old Style" w:hAnsi="Bookman Old Style"/>
          </w:rPr>
          <w:t xml:space="preserve"> | </w:t>
        </w:r>
        <w:r w:rsidRPr="000723EB">
          <w:rPr>
            <w:rFonts w:ascii="Bookman Old Style" w:hAnsi="Bookman Old Style"/>
          </w:rPr>
          <w:fldChar w:fldCharType="begin"/>
        </w:r>
        <w:r w:rsidRPr="000723EB">
          <w:rPr>
            <w:rFonts w:ascii="Bookman Old Style" w:hAnsi="Bookman Old Style"/>
          </w:rPr>
          <w:instrText xml:space="preserve"> PAGE   \* MERGEFORMAT </w:instrText>
        </w:r>
        <w:r w:rsidRPr="000723EB">
          <w:rPr>
            <w:rFonts w:ascii="Bookman Old Style" w:hAnsi="Bookman Old Style"/>
          </w:rPr>
          <w:fldChar w:fldCharType="separate"/>
        </w:r>
        <w:r w:rsidRPr="000723EB">
          <w:rPr>
            <w:rFonts w:ascii="Bookman Old Style" w:hAnsi="Bookman Old Style"/>
            <w:b/>
            <w:bCs/>
            <w:noProof/>
          </w:rPr>
          <w:t>2</w:t>
        </w:r>
        <w:r w:rsidRPr="000723EB">
          <w:rPr>
            <w:rFonts w:ascii="Bookman Old Style" w:hAnsi="Bookman Old Style"/>
            <w:b/>
            <w:bCs/>
            <w:noProof/>
          </w:rPr>
          <w:fldChar w:fldCharType="end"/>
        </w:r>
      </w:p>
    </w:sdtContent>
  </w:sdt>
  <w:p w14:paraId="05318F17" w14:textId="398DB020" w:rsidR="0080695F" w:rsidRDefault="0080695F">
    <w:pPr>
      <w:pStyle w:val="Header"/>
    </w:pPr>
  </w:p>
  <w:p w14:paraId="0BAA87D5" w14:textId="421B1A05" w:rsidR="000723EB" w:rsidRDefault="000723EB">
    <w:pPr>
      <w:pStyle w:val="Header"/>
    </w:pPr>
  </w:p>
  <w:p w14:paraId="24C218B2" w14:textId="77777777" w:rsidR="000723EB" w:rsidRDefault="0007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FF03DC"/>
    <w:multiLevelType w:val="hybridMultilevel"/>
    <w:tmpl w:val="159A078A"/>
    <w:lvl w:ilvl="0" w:tplc="40881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6A2F1C"/>
    <w:multiLevelType w:val="hybridMultilevel"/>
    <w:tmpl w:val="A7A4E0BC"/>
    <w:lvl w:ilvl="0" w:tplc="06D2067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A72475"/>
    <w:multiLevelType w:val="hybridMultilevel"/>
    <w:tmpl w:val="3D625446"/>
    <w:lvl w:ilvl="0" w:tplc="B9C67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337AA6"/>
    <w:multiLevelType w:val="hybridMultilevel"/>
    <w:tmpl w:val="A9F0D884"/>
    <w:lvl w:ilvl="0" w:tplc="7F00C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A58D1"/>
    <w:multiLevelType w:val="hybridMultilevel"/>
    <w:tmpl w:val="906060B6"/>
    <w:lvl w:ilvl="0" w:tplc="288AB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863642"/>
    <w:multiLevelType w:val="hybridMultilevel"/>
    <w:tmpl w:val="ADDC5154"/>
    <w:lvl w:ilvl="0" w:tplc="66AE8B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
  </w:num>
  <w:num w:numId="13">
    <w:abstractNumId w:val="6"/>
  </w:num>
  <w:num w:numId="14">
    <w:abstractNumId w:val="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C6"/>
    <w:rsid w:val="00005633"/>
    <w:rsid w:val="00006041"/>
    <w:rsid w:val="00006799"/>
    <w:rsid w:val="00006CB9"/>
    <w:rsid w:val="00021FCE"/>
    <w:rsid w:val="000274FE"/>
    <w:rsid w:val="00027A2F"/>
    <w:rsid w:val="00053F6C"/>
    <w:rsid w:val="00054835"/>
    <w:rsid w:val="00056809"/>
    <w:rsid w:val="00056CC3"/>
    <w:rsid w:val="00064B93"/>
    <w:rsid w:val="000658EF"/>
    <w:rsid w:val="00066882"/>
    <w:rsid w:val="00072342"/>
    <w:rsid w:val="000723EB"/>
    <w:rsid w:val="00074D05"/>
    <w:rsid w:val="00092A1B"/>
    <w:rsid w:val="000A74EB"/>
    <w:rsid w:val="000C2C44"/>
    <w:rsid w:val="000C5DF9"/>
    <w:rsid w:val="000C5EE7"/>
    <w:rsid w:val="000D15F3"/>
    <w:rsid w:val="000D1E99"/>
    <w:rsid w:val="000D66EA"/>
    <w:rsid w:val="000E0172"/>
    <w:rsid w:val="0010004F"/>
    <w:rsid w:val="00105370"/>
    <w:rsid w:val="00106EAF"/>
    <w:rsid w:val="001073A3"/>
    <w:rsid w:val="001103CC"/>
    <w:rsid w:val="00112A36"/>
    <w:rsid w:val="00117438"/>
    <w:rsid w:val="0013420B"/>
    <w:rsid w:val="001618A5"/>
    <w:rsid w:val="00162CF2"/>
    <w:rsid w:val="00167BD9"/>
    <w:rsid w:val="001725A0"/>
    <w:rsid w:val="00187BB1"/>
    <w:rsid w:val="00187DA3"/>
    <w:rsid w:val="001952EC"/>
    <w:rsid w:val="00195BBB"/>
    <w:rsid w:val="001A5AE1"/>
    <w:rsid w:val="001B50DA"/>
    <w:rsid w:val="001C2160"/>
    <w:rsid w:val="001D6296"/>
    <w:rsid w:val="001E1DD9"/>
    <w:rsid w:val="001E7DF9"/>
    <w:rsid w:val="001F2D17"/>
    <w:rsid w:val="00210365"/>
    <w:rsid w:val="00211EF1"/>
    <w:rsid w:val="00223A32"/>
    <w:rsid w:val="002325A0"/>
    <w:rsid w:val="00242F4B"/>
    <w:rsid w:val="00243F5E"/>
    <w:rsid w:val="00255D45"/>
    <w:rsid w:val="002641F0"/>
    <w:rsid w:val="00282973"/>
    <w:rsid w:val="00285159"/>
    <w:rsid w:val="002B58C1"/>
    <w:rsid w:val="002C6C88"/>
    <w:rsid w:val="002F433D"/>
    <w:rsid w:val="002F5F68"/>
    <w:rsid w:val="002F687D"/>
    <w:rsid w:val="00304D37"/>
    <w:rsid w:val="00312554"/>
    <w:rsid w:val="0031599F"/>
    <w:rsid w:val="00331888"/>
    <w:rsid w:val="0033614B"/>
    <w:rsid w:val="00336E3D"/>
    <w:rsid w:val="00353117"/>
    <w:rsid w:val="0035761D"/>
    <w:rsid w:val="0036195E"/>
    <w:rsid w:val="00373857"/>
    <w:rsid w:val="00381D35"/>
    <w:rsid w:val="00391FE7"/>
    <w:rsid w:val="0039224E"/>
    <w:rsid w:val="003A29D3"/>
    <w:rsid w:val="003B0680"/>
    <w:rsid w:val="003D1763"/>
    <w:rsid w:val="003E5B6C"/>
    <w:rsid w:val="003F37B6"/>
    <w:rsid w:val="004126DC"/>
    <w:rsid w:val="00416374"/>
    <w:rsid w:val="0042003C"/>
    <w:rsid w:val="00422F14"/>
    <w:rsid w:val="00423BD2"/>
    <w:rsid w:val="004302F6"/>
    <w:rsid w:val="0043760F"/>
    <w:rsid w:val="00440267"/>
    <w:rsid w:val="00442DE5"/>
    <w:rsid w:val="0046040A"/>
    <w:rsid w:val="00462E0B"/>
    <w:rsid w:val="00463E93"/>
    <w:rsid w:val="004673E6"/>
    <w:rsid w:val="00467745"/>
    <w:rsid w:val="00490E11"/>
    <w:rsid w:val="004979A5"/>
    <w:rsid w:val="00497DB1"/>
    <w:rsid w:val="004A1833"/>
    <w:rsid w:val="004A56AA"/>
    <w:rsid w:val="004B4E41"/>
    <w:rsid w:val="004B5338"/>
    <w:rsid w:val="004D0735"/>
    <w:rsid w:val="004D58AE"/>
    <w:rsid w:val="004F1D02"/>
    <w:rsid w:val="004F360C"/>
    <w:rsid w:val="005010A9"/>
    <w:rsid w:val="00512DE9"/>
    <w:rsid w:val="0053102D"/>
    <w:rsid w:val="00532003"/>
    <w:rsid w:val="00532E36"/>
    <w:rsid w:val="00543C39"/>
    <w:rsid w:val="0055062C"/>
    <w:rsid w:val="0056169E"/>
    <w:rsid w:val="00570F11"/>
    <w:rsid w:val="0057115E"/>
    <w:rsid w:val="0057427A"/>
    <w:rsid w:val="0057686C"/>
    <w:rsid w:val="00585FDF"/>
    <w:rsid w:val="00595BB3"/>
    <w:rsid w:val="0059615D"/>
    <w:rsid w:val="005A1A6C"/>
    <w:rsid w:val="005A3F22"/>
    <w:rsid w:val="005A6B06"/>
    <w:rsid w:val="005C20ED"/>
    <w:rsid w:val="005C6038"/>
    <w:rsid w:val="005D0D5F"/>
    <w:rsid w:val="005E53EB"/>
    <w:rsid w:val="005E7718"/>
    <w:rsid w:val="005F500B"/>
    <w:rsid w:val="0060029C"/>
    <w:rsid w:val="006038F5"/>
    <w:rsid w:val="006051DC"/>
    <w:rsid w:val="006176F4"/>
    <w:rsid w:val="00622340"/>
    <w:rsid w:val="00630F1B"/>
    <w:rsid w:val="00640ED5"/>
    <w:rsid w:val="00641528"/>
    <w:rsid w:val="00651019"/>
    <w:rsid w:val="00651415"/>
    <w:rsid w:val="00674E8C"/>
    <w:rsid w:val="00676EC4"/>
    <w:rsid w:val="00683778"/>
    <w:rsid w:val="00685C6D"/>
    <w:rsid w:val="00692BC0"/>
    <w:rsid w:val="00695093"/>
    <w:rsid w:val="006B4042"/>
    <w:rsid w:val="006D0AF6"/>
    <w:rsid w:val="006D26FA"/>
    <w:rsid w:val="006D348A"/>
    <w:rsid w:val="006D70BA"/>
    <w:rsid w:val="006E076A"/>
    <w:rsid w:val="006E0A95"/>
    <w:rsid w:val="006F324A"/>
    <w:rsid w:val="006F4955"/>
    <w:rsid w:val="006F5724"/>
    <w:rsid w:val="006F60A2"/>
    <w:rsid w:val="0070182F"/>
    <w:rsid w:val="00707691"/>
    <w:rsid w:val="00712E84"/>
    <w:rsid w:val="007262D2"/>
    <w:rsid w:val="0072789D"/>
    <w:rsid w:val="00751288"/>
    <w:rsid w:val="007534F9"/>
    <w:rsid w:val="00770456"/>
    <w:rsid w:val="007860E0"/>
    <w:rsid w:val="0079704E"/>
    <w:rsid w:val="00797ECA"/>
    <w:rsid w:val="007C5B05"/>
    <w:rsid w:val="007C60A6"/>
    <w:rsid w:val="007D02D5"/>
    <w:rsid w:val="007D74ED"/>
    <w:rsid w:val="007E42D5"/>
    <w:rsid w:val="007F3B8D"/>
    <w:rsid w:val="0080501A"/>
    <w:rsid w:val="0080695F"/>
    <w:rsid w:val="00812BC5"/>
    <w:rsid w:val="00821302"/>
    <w:rsid w:val="00833815"/>
    <w:rsid w:val="00841DCC"/>
    <w:rsid w:val="00856D94"/>
    <w:rsid w:val="00857843"/>
    <w:rsid w:val="00862D08"/>
    <w:rsid w:val="008678AC"/>
    <w:rsid w:val="00875A2C"/>
    <w:rsid w:val="00886ECA"/>
    <w:rsid w:val="008931E0"/>
    <w:rsid w:val="00894DC8"/>
    <w:rsid w:val="00895C86"/>
    <w:rsid w:val="00896E3C"/>
    <w:rsid w:val="008A215D"/>
    <w:rsid w:val="008A3C24"/>
    <w:rsid w:val="008A5487"/>
    <w:rsid w:val="008A7EF9"/>
    <w:rsid w:val="008B5167"/>
    <w:rsid w:val="008C2C5F"/>
    <w:rsid w:val="008C3048"/>
    <w:rsid w:val="008D2E93"/>
    <w:rsid w:val="00915285"/>
    <w:rsid w:val="0093272F"/>
    <w:rsid w:val="00940421"/>
    <w:rsid w:val="00942ECA"/>
    <w:rsid w:val="0094612C"/>
    <w:rsid w:val="00956995"/>
    <w:rsid w:val="009578B2"/>
    <w:rsid w:val="009637BE"/>
    <w:rsid w:val="009641D4"/>
    <w:rsid w:val="00984741"/>
    <w:rsid w:val="009A545A"/>
    <w:rsid w:val="009B2B72"/>
    <w:rsid w:val="009C0244"/>
    <w:rsid w:val="009C0490"/>
    <w:rsid w:val="009D0E73"/>
    <w:rsid w:val="009E6462"/>
    <w:rsid w:val="00A0149D"/>
    <w:rsid w:val="00A13AF3"/>
    <w:rsid w:val="00A1410B"/>
    <w:rsid w:val="00A214E9"/>
    <w:rsid w:val="00A35EDC"/>
    <w:rsid w:val="00A35F3A"/>
    <w:rsid w:val="00A37B6D"/>
    <w:rsid w:val="00A41DB1"/>
    <w:rsid w:val="00A44744"/>
    <w:rsid w:val="00A45D0B"/>
    <w:rsid w:val="00A470C6"/>
    <w:rsid w:val="00A478F2"/>
    <w:rsid w:val="00A51A5D"/>
    <w:rsid w:val="00A64D49"/>
    <w:rsid w:val="00A64D99"/>
    <w:rsid w:val="00A6663D"/>
    <w:rsid w:val="00A827F9"/>
    <w:rsid w:val="00A82853"/>
    <w:rsid w:val="00A906C5"/>
    <w:rsid w:val="00A9559B"/>
    <w:rsid w:val="00AA112A"/>
    <w:rsid w:val="00AA395D"/>
    <w:rsid w:val="00AB158D"/>
    <w:rsid w:val="00AB3798"/>
    <w:rsid w:val="00AE622E"/>
    <w:rsid w:val="00AE75BE"/>
    <w:rsid w:val="00AF110A"/>
    <w:rsid w:val="00AF5C43"/>
    <w:rsid w:val="00B05095"/>
    <w:rsid w:val="00B14EAA"/>
    <w:rsid w:val="00B20E54"/>
    <w:rsid w:val="00B22AA8"/>
    <w:rsid w:val="00B4082F"/>
    <w:rsid w:val="00B43973"/>
    <w:rsid w:val="00B46F34"/>
    <w:rsid w:val="00B552BE"/>
    <w:rsid w:val="00B65246"/>
    <w:rsid w:val="00B66B05"/>
    <w:rsid w:val="00B67B83"/>
    <w:rsid w:val="00B87256"/>
    <w:rsid w:val="00B94D34"/>
    <w:rsid w:val="00B96149"/>
    <w:rsid w:val="00B973E5"/>
    <w:rsid w:val="00B97CED"/>
    <w:rsid w:val="00BC57C4"/>
    <w:rsid w:val="00C046B8"/>
    <w:rsid w:val="00C056EC"/>
    <w:rsid w:val="00C07466"/>
    <w:rsid w:val="00C23EEF"/>
    <w:rsid w:val="00C32CFD"/>
    <w:rsid w:val="00C37577"/>
    <w:rsid w:val="00C45F8F"/>
    <w:rsid w:val="00C56E5B"/>
    <w:rsid w:val="00C7205A"/>
    <w:rsid w:val="00C82758"/>
    <w:rsid w:val="00C94A7D"/>
    <w:rsid w:val="00C94A8B"/>
    <w:rsid w:val="00CA2280"/>
    <w:rsid w:val="00CB47FC"/>
    <w:rsid w:val="00CB4E49"/>
    <w:rsid w:val="00CC0B1D"/>
    <w:rsid w:val="00CE5F3E"/>
    <w:rsid w:val="00CE689D"/>
    <w:rsid w:val="00CF0034"/>
    <w:rsid w:val="00CF012E"/>
    <w:rsid w:val="00CF1B32"/>
    <w:rsid w:val="00CF74BF"/>
    <w:rsid w:val="00D02E96"/>
    <w:rsid w:val="00D046B6"/>
    <w:rsid w:val="00D13649"/>
    <w:rsid w:val="00D149AB"/>
    <w:rsid w:val="00D204AA"/>
    <w:rsid w:val="00D20A1A"/>
    <w:rsid w:val="00D258FB"/>
    <w:rsid w:val="00D57A48"/>
    <w:rsid w:val="00D6578C"/>
    <w:rsid w:val="00D81210"/>
    <w:rsid w:val="00D85F2F"/>
    <w:rsid w:val="00D9680B"/>
    <w:rsid w:val="00DA5CE9"/>
    <w:rsid w:val="00DC04C2"/>
    <w:rsid w:val="00DC2D42"/>
    <w:rsid w:val="00DD17BC"/>
    <w:rsid w:val="00DD4CAE"/>
    <w:rsid w:val="00DD563C"/>
    <w:rsid w:val="00DF4A11"/>
    <w:rsid w:val="00E049F7"/>
    <w:rsid w:val="00E134D7"/>
    <w:rsid w:val="00E14509"/>
    <w:rsid w:val="00E16242"/>
    <w:rsid w:val="00E17932"/>
    <w:rsid w:val="00E25AA6"/>
    <w:rsid w:val="00E26365"/>
    <w:rsid w:val="00E40798"/>
    <w:rsid w:val="00E6177D"/>
    <w:rsid w:val="00E76287"/>
    <w:rsid w:val="00E87748"/>
    <w:rsid w:val="00E968B6"/>
    <w:rsid w:val="00EA6DDC"/>
    <w:rsid w:val="00EB3DAC"/>
    <w:rsid w:val="00ED709B"/>
    <w:rsid w:val="00ED70F7"/>
    <w:rsid w:val="00EE4E80"/>
    <w:rsid w:val="00EE6B7C"/>
    <w:rsid w:val="00EF51DE"/>
    <w:rsid w:val="00F02547"/>
    <w:rsid w:val="00F10ED5"/>
    <w:rsid w:val="00F116D0"/>
    <w:rsid w:val="00F21C99"/>
    <w:rsid w:val="00F223FE"/>
    <w:rsid w:val="00F22F85"/>
    <w:rsid w:val="00F25ABB"/>
    <w:rsid w:val="00F352D9"/>
    <w:rsid w:val="00F523DF"/>
    <w:rsid w:val="00F80334"/>
    <w:rsid w:val="00F8722B"/>
    <w:rsid w:val="00F90DBF"/>
    <w:rsid w:val="00F94117"/>
    <w:rsid w:val="00F96B22"/>
    <w:rsid w:val="00FA1C0D"/>
    <w:rsid w:val="00FA319A"/>
    <w:rsid w:val="00FA32BF"/>
    <w:rsid w:val="00FA3968"/>
    <w:rsid w:val="00FA580E"/>
    <w:rsid w:val="00FB6809"/>
    <w:rsid w:val="00FC6F27"/>
    <w:rsid w:val="00FE152A"/>
    <w:rsid w:val="00FF4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9B24C"/>
  <w15:chartTrackingRefBased/>
  <w15:docId w15:val="{4681AA13-40CE-4A9F-8DF6-E36B3BFD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6">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0695F"/>
    <w:pPr>
      <w:tabs>
        <w:tab w:val="center" w:pos="4680"/>
        <w:tab w:val="right" w:pos="9360"/>
      </w:tabs>
    </w:pPr>
  </w:style>
  <w:style w:type="character" w:customStyle="1" w:styleId="HeaderChar">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character" w:styleId="Hyperlink">
    <w:name w:val="Hyperlink"/>
    <w:basedOn w:val="DefaultParagraphFont"/>
    <w:uiPriority w:val="99"/>
    <w:unhideWhenUsed/>
    <w:rsid w:val="00A64D49"/>
    <w:rPr>
      <w:color w:val="0000FF" w:themeColor="hyperlink"/>
      <w:u w:val="single"/>
    </w:rPr>
  </w:style>
  <w:style w:type="character" w:styleId="UnresolvedMention">
    <w:name w:val="Unresolved Mention"/>
    <w:basedOn w:val="DefaultParagraphFont"/>
    <w:uiPriority w:val="99"/>
    <w:semiHidden/>
    <w:unhideWhenUsed/>
    <w:rsid w:val="00A64D49"/>
    <w:rPr>
      <w:color w:val="605E5C"/>
      <w:shd w:val="clear" w:color="auto" w:fill="E1DFDD"/>
    </w:rPr>
  </w:style>
  <w:style w:type="paragraph" w:styleId="ListParagraph">
    <w:name w:val="List Paragraph"/>
    <w:basedOn w:val="Normal"/>
    <w:uiPriority w:val="39"/>
    <w:qFormat/>
    <w:rsid w:val="00A64D49"/>
    <w:pPr>
      <w:ind w:left="720"/>
      <w:contextualSpacing/>
    </w:pPr>
  </w:style>
  <w:style w:type="paragraph" w:styleId="FootnoteText">
    <w:name w:val="footnote text"/>
    <w:basedOn w:val="Normal"/>
    <w:link w:val="FootnoteTextChar"/>
    <w:uiPriority w:val="99"/>
    <w:semiHidden/>
    <w:unhideWhenUsed/>
    <w:rsid w:val="0031599F"/>
    <w:rPr>
      <w:sz w:val="20"/>
      <w:szCs w:val="20"/>
    </w:rPr>
  </w:style>
  <w:style w:type="character" w:customStyle="1" w:styleId="FootnoteTextChar">
    <w:name w:val="Footnote Text Char"/>
    <w:basedOn w:val="DefaultParagraphFont"/>
    <w:link w:val="FootnoteText"/>
    <w:uiPriority w:val="99"/>
    <w:semiHidden/>
    <w:rsid w:val="0031599F"/>
    <w:rPr>
      <w:sz w:val="20"/>
      <w:szCs w:val="20"/>
    </w:rPr>
  </w:style>
  <w:style w:type="character" w:styleId="FootnoteReference">
    <w:name w:val="footnote reference"/>
    <w:basedOn w:val="DefaultParagraphFont"/>
    <w:uiPriority w:val="99"/>
    <w:semiHidden/>
    <w:unhideWhenUsed/>
    <w:rsid w:val="00315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apavizas@wins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2526</Words>
  <Characters>14401</Characters>
  <Application>Microsoft Office Word</Application>
  <DocSecurity>4</DocSecurity>
  <Lines>120</Lines>
  <Paragraphs>33</Paragraphs>
  <ScaleCrop>false</ScaleCrop>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 Carey</dc:creator>
  <cp:lastModifiedBy>Christopher E. Carey</cp:lastModifiedBy>
  <cp:revision>2</cp:revision>
  <dcterms:created xsi:type="dcterms:W3CDTF">2021-10-19T16:44:00Z</dcterms:created>
  <dcterms:modified xsi:type="dcterms:W3CDTF">2021-10-19T16:44:00Z</dcterms:modified>
</cp:coreProperties>
</file>