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1D02" w:rsidP="00CF1A35" w:rsidRDefault="000E19E8" w14:paraId="1C0A2715" w14:textId="5FAB563C">
      <w:pPr>
        <w:jc w:val="center"/>
        <w:rPr>
          <w:rFonts w:ascii="Times New Roman" w:hAnsi="Times New Roman" w:cs="Times New Roman"/>
          <w:u w:val="single"/>
        </w:rPr>
      </w:pPr>
      <w:r w:rsidRPr="000E19E8">
        <w:rPr>
          <w:rFonts w:ascii="Times New Roman" w:hAnsi="Times New Roman" w:cs="Times New Roman"/>
          <w:u w:val="single"/>
        </w:rPr>
        <w:t>§1110</w:t>
      </w:r>
      <w:r w:rsidRPr="00CF1A35" w:rsidR="00181D02">
        <w:rPr>
          <w:rFonts w:ascii="Times New Roman" w:hAnsi="Times New Roman" w:cs="Times New Roman"/>
          <w:u w:val="single"/>
        </w:rPr>
        <w:t xml:space="preserve"> of the Bankruptcy Code Vessels </w:t>
      </w:r>
      <w:r w:rsidR="00CF1A35">
        <w:rPr>
          <w:rFonts w:ascii="Times New Roman" w:hAnsi="Times New Roman" w:cs="Times New Roman"/>
          <w:u w:val="single"/>
        </w:rPr>
        <w:t>- MLA Bankruptcy Committee</w:t>
      </w:r>
      <w:r w:rsidRPr="00C0252E" w:rsidR="00C0252E">
        <w:rPr>
          <w:rFonts w:ascii="Times New Roman" w:hAnsi="Times New Roman" w:cs="Times New Roman"/>
          <w:u w:val="single"/>
        </w:rPr>
        <w:t xml:space="preserve"> </w:t>
      </w:r>
      <w:r w:rsidRPr="00CF1A35" w:rsidR="00C0252E">
        <w:rPr>
          <w:rFonts w:ascii="Times New Roman" w:hAnsi="Times New Roman" w:cs="Times New Roman"/>
          <w:u w:val="single"/>
        </w:rPr>
        <w:t>Propos</w:t>
      </w:r>
      <w:r w:rsidR="00C0252E">
        <w:rPr>
          <w:rFonts w:ascii="Times New Roman" w:hAnsi="Times New Roman" w:cs="Times New Roman"/>
          <w:u w:val="single"/>
        </w:rPr>
        <w:t>ed Actions</w:t>
      </w:r>
    </w:p>
    <w:p w:rsidRPr="00CF1A35" w:rsidR="00CF1A35" w:rsidRDefault="00CF1A35" w14:paraId="5BAC1802" w14:textId="4B181376">
      <w:pPr>
        <w:rPr>
          <w:rFonts w:ascii="Times New Roman" w:hAnsi="Times New Roman" w:cs="Times New Roman"/>
        </w:rPr>
      </w:pPr>
      <w:proofErr w:type="spellStart"/>
      <w:r>
        <w:rPr>
          <w:rFonts w:ascii="Times New Roman" w:hAnsi="Times New Roman" w:cs="Times New Roman"/>
        </w:rPr>
        <w:t>YLC</w:t>
      </w:r>
      <w:proofErr w:type="spellEnd"/>
      <w:r>
        <w:rPr>
          <w:rFonts w:ascii="Times New Roman" w:hAnsi="Times New Roman" w:cs="Times New Roman"/>
        </w:rPr>
        <w:t xml:space="preserve"> Liaison: </w:t>
      </w:r>
      <w:r w:rsidRPr="00CF1A35">
        <w:rPr>
          <w:rFonts w:ascii="Times New Roman" w:hAnsi="Times New Roman" w:cs="Times New Roman"/>
        </w:rPr>
        <w:t>Nick Dugdale, Associate, Sheppard Mullin Richter &amp; Hampton LLP</w:t>
      </w:r>
    </w:p>
    <w:p w:rsidRPr="00CF1A35" w:rsidR="000E19E8" w:rsidRDefault="000E19E8" w14:paraId="3C0E4ABF" w14:textId="12031A07">
      <w:pPr>
        <w:rPr>
          <w:rFonts w:ascii="Times New Roman" w:hAnsi="Times New Roman" w:cs="Times New Roman"/>
          <w:u w:val="single"/>
        </w:rPr>
      </w:pPr>
      <w:r w:rsidRPr="00CF1A35">
        <w:rPr>
          <w:rFonts w:ascii="Times New Roman" w:hAnsi="Times New Roman" w:cs="Times New Roman"/>
          <w:u w:val="single"/>
        </w:rPr>
        <w:t>Issue</w:t>
      </w:r>
      <w:r w:rsidRPr="00CF1A35">
        <w:rPr>
          <w:rFonts w:ascii="Times New Roman" w:hAnsi="Times New Roman" w:cs="Times New Roman"/>
          <w:u w:val="single"/>
        </w:rPr>
        <w:br/>
      </w:r>
    </w:p>
    <w:p w:rsidRPr="00CF1A35" w:rsidR="000E19E8" w:rsidP="00181D02" w:rsidRDefault="000E19E8" w14:paraId="479B3F2D" w14:textId="0E862897">
      <w:pPr>
        <w:pStyle w:val="ListParagraph"/>
        <w:numPr>
          <w:ilvl w:val="0"/>
          <w:numId w:val="2"/>
        </w:numPr>
        <w:rPr>
          <w:rFonts w:ascii="Times New Roman" w:hAnsi="Times New Roman" w:cs="Times New Roman"/>
          <w:u w:val="single"/>
        </w:rPr>
      </w:pPr>
      <w:r w:rsidRPr="00CF1A35">
        <w:rPr>
          <w:rFonts w:ascii="Times New Roman" w:hAnsi="Times New Roman" w:cs="Times New Roman"/>
        </w:rPr>
        <w:t>Section 1110 of the Bankruptcy Code</w:t>
      </w:r>
      <w:r w:rsidRPr="00CF1A35">
        <w:rPr>
          <w:rFonts w:ascii="Times New Roman" w:hAnsi="Times New Roman" w:cs="Times New Roman"/>
        </w:rPr>
        <w:t>, as drafted, was intended to apply to vessels and water carriers, as well as aircraft. Over time, due to various legislative changes</w:t>
      </w:r>
      <w:r w:rsidRPr="00CF1A35" w:rsidR="00181D02">
        <w:rPr>
          <w:rFonts w:ascii="Times New Roman" w:hAnsi="Times New Roman" w:cs="Times New Roman"/>
        </w:rPr>
        <w:t>,</w:t>
      </w:r>
      <w:r w:rsidRPr="00CF1A35">
        <w:rPr>
          <w:rFonts w:ascii="Times New Roman" w:hAnsi="Times New Roman" w:cs="Times New Roman"/>
        </w:rPr>
        <w:t xml:space="preserve"> </w:t>
      </w:r>
      <w:r w:rsidRPr="00CF1A35">
        <w:rPr>
          <w:rFonts w:ascii="Times New Roman" w:hAnsi="Times New Roman" w:cs="Times New Roman"/>
        </w:rPr>
        <w:t>Section 1110</w:t>
      </w:r>
      <w:r w:rsidRPr="00CF1A35">
        <w:rPr>
          <w:rFonts w:ascii="Times New Roman" w:hAnsi="Times New Roman" w:cs="Times New Roman"/>
        </w:rPr>
        <w:t xml:space="preserve"> in practice is no longer applicable to vessel</w:t>
      </w:r>
      <w:r w:rsidRPr="00CF1A35" w:rsidR="00181D02">
        <w:rPr>
          <w:rFonts w:ascii="Times New Roman" w:hAnsi="Times New Roman" w:cs="Times New Roman"/>
        </w:rPr>
        <w:t xml:space="preserve">s, because the </w:t>
      </w:r>
      <w:r w:rsidRPr="00CF1A35">
        <w:rPr>
          <w:rFonts w:ascii="Times New Roman" w:hAnsi="Times New Roman" w:cs="Times New Roman"/>
        </w:rPr>
        <w:t>Department of Transportation</w:t>
      </w:r>
      <w:r w:rsidRPr="00CF1A35" w:rsidR="00181D02">
        <w:rPr>
          <w:rFonts w:ascii="Times New Roman" w:hAnsi="Times New Roman" w:cs="Times New Roman"/>
        </w:rPr>
        <w:t xml:space="preserve">, as successor  to the Interstate Commerce Commission, </w:t>
      </w:r>
      <w:r w:rsidRPr="00CF1A35">
        <w:rPr>
          <w:rFonts w:ascii="Times New Roman" w:hAnsi="Times New Roman" w:cs="Times New Roman"/>
        </w:rPr>
        <w:t>no longer</w:t>
      </w:r>
      <w:r w:rsidRPr="00CF1A35">
        <w:rPr>
          <w:rFonts w:ascii="Times New Roman" w:hAnsi="Times New Roman" w:cs="Times New Roman"/>
        </w:rPr>
        <w:t xml:space="preserve"> issue</w:t>
      </w:r>
      <w:r w:rsidRPr="00CF1A35">
        <w:rPr>
          <w:rFonts w:ascii="Times New Roman" w:hAnsi="Times New Roman" w:cs="Times New Roman"/>
        </w:rPr>
        <w:t>s</w:t>
      </w:r>
      <w:r w:rsidRPr="00CF1A35">
        <w:rPr>
          <w:rFonts w:ascii="Times New Roman" w:hAnsi="Times New Roman" w:cs="Times New Roman"/>
        </w:rPr>
        <w:t xml:space="preserve"> “certificate[s] of public convenience and necessity or permit[s]” to water carriers</w:t>
      </w:r>
      <w:r w:rsidRPr="00CF1A35" w:rsidR="00181D02">
        <w:rPr>
          <w:rFonts w:ascii="Times New Roman" w:hAnsi="Times New Roman" w:cs="Times New Roman"/>
        </w:rPr>
        <w:t xml:space="preserve">.  </w:t>
      </w:r>
      <w:r w:rsidRPr="00CF1A35">
        <w:rPr>
          <w:rFonts w:ascii="Times New Roman" w:hAnsi="Times New Roman" w:cs="Times New Roman"/>
        </w:rPr>
        <w:t xml:space="preserve">Thus, no vessels </w:t>
      </w:r>
      <w:r w:rsidRPr="00CF1A35" w:rsidR="00181D02">
        <w:rPr>
          <w:rFonts w:ascii="Times New Roman" w:hAnsi="Times New Roman" w:cs="Times New Roman"/>
        </w:rPr>
        <w:t xml:space="preserve">would </w:t>
      </w:r>
      <w:r w:rsidRPr="00CF1A35">
        <w:rPr>
          <w:rFonts w:ascii="Times New Roman" w:hAnsi="Times New Roman" w:cs="Times New Roman"/>
        </w:rPr>
        <w:t>currently qualify under §1110.</w:t>
      </w:r>
    </w:p>
    <w:p w:rsidRPr="00CF1A35" w:rsidR="00181D02" w:rsidP="00181D02" w:rsidRDefault="00181D02" w14:paraId="487174EA" w14:textId="77777777">
      <w:pPr>
        <w:rPr>
          <w:rFonts w:ascii="Times New Roman" w:hAnsi="Times New Roman" w:cs="Times New Roman"/>
          <w:u w:val="single"/>
        </w:rPr>
      </w:pPr>
      <w:r w:rsidRPr="00CF1A35">
        <w:rPr>
          <w:rFonts w:ascii="Times New Roman" w:hAnsi="Times New Roman" w:cs="Times New Roman"/>
          <w:u w:val="single"/>
        </w:rPr>
        <w:t>Current Language</w:t>
      </w:r>
    </w:p>
    <w:p w:rsidRPr="000E19E8" w:rsidR="000E19E8" w:rsidP="00181D02" w:rsidRDefault="000E19E8" w14:paraId="439F101F" w14:textId="77777777">
      <w:pPr>
        <w:numPr>
          <w:ilvl w:val="0"/>
          <w:numId w:val="3"/>
        </w:numPr>
        <w:rPr>
          <w:rFonts w:ascii="Times New Roman" w:hAnsi="Times New Roman" w:cs="Times New Roman"/>
        </w:rPr>
      </w:pPr>
      <w:r w:rsidRPr="000E19E8">
        <w:rPr>
          <w:rFonts w:ascii="Times New Roman" w:hAnsi="Times New Roman" w:cs="Times New Roman"/>
        </w:rPr>
        <w:t>§1110 applies to vessels that are:</w:t>
      </w:r>
    </w:p>
    <w:p w:rsidRPr="00CF1A35" w:rsidR="00181D02" w:rsidP="00181D02" w:rsidRDefault="000E19E8" w14:paraId="194E061A" w14:textId="77777777">
      <w:pPr>
        <w:numPr>
          <w:ilvl w:val="1"/>
          <w:numId w:val="3"/>
        </w:numPr>
        <w:rPr>
          <w:rFonts w:ascii="Times New Roman" w:hAnsi="Times New Roman" w:cs="Times New Roman"/>
        </w:rPr>
      </w:pPr>
      <w:r w:rsidRPr="000E19E8">
        <w:rPr>
          <w:rFonts w:ascii="Times New Roman" w:hAnsi="Times New Roman" w:cs="Times New Roman"/>
        </w:rPr>
        <w:t xml:space="preserve">documented under chapter 121 of title 46, and </w:t>
      </w:r>
    </w:p>
    <w:p w:rsidRPr="000E19E8" w:rsidR="00181D02" w:rsidP="00181D02" w:rsidRDefault="000E19E8" w14:paraId="0E7F65CF" w14:textId="64AB439F">
      <w:pPr>
        <w:numPr>
          <w:ilvl w:val="1"/>
          <w:numId w:val="3"/>
        </w:numPr>
        <w:rPr>
          <w:rFonts w:ascii="Times New Roman" w:hAnsi="Times New Roman" w:cs="Times New Roman"/>
        </w:rPr>
      </w:pPr>
      <w:r w:rsidRPr="000E19E8">
        <w:rPr>
          <w:rFonts w:ascii="Times New Roman" w:hAnsi="Times New Roman" w:cs="Times New Roman"/>
        </w:rPr>
        <w:t xml:space="preserve">subject to a security interest granted by, leased to, or conditionally sold to a debtor that is a water carrier that, at the time such transaction is entered into, </w:t>
      </w:r>
      <w:r w:rsidRPr="000E19E8">
        <w:rPr>
          <w:rFonts w:ascii="Times New Roman" w:hAnsi="Times New Roman" w:cs="Times New Roman"/>
          <w:highlight w:val="yellow"/>
          <w:u w:val="single"/>
        </w:rPr>
        <w:t>“holds a certificate of public convenience and necessity or permit issued by the Department of Transportation.”</w:t>
      </w:r>
      <w:r w:rsidRPr="000E19E8">
        <w:rPr>
          <w:rFonts w:ascii="Times New Roman" w:hAnsi="Times New Roman" w:cs="Times New Roman"/>
        </w:rPr>
        <w:t xml:space="preserve"> (11 U.S.C. § 1110(a)(3) (B))</w:t>
      </w:r>
    </w:p>
    <w:p w:rsidRPr="00CF1A35" w:rsidR="000E19E8" w:rsidRDefault="000E19E8" w14:paraId="15B38604" w14:textId="4C199B60">
      <w:pPr>
        <w:rPr>
          <w:rFonts w:ascii="Times New Roman" w:hAnsi="Times New Roman" w:cs="Times New Roman"/>
          <w:u w:val="single"/>
        </w:rPr>
      </w:pPr>
      <w:r w:rsidRPr="00CF1A35">
        <w:rPr>
          <w:rFonts w:ascii="Times New Roman" w:hAnsi="Times New Roman" w:cs="Times New Roman"/>
          <w:u w:val="single"/>
        </w:rPr>
        <w:t>Proposal for the Committee</w:t>
      </w:r>
    </w:p>
    <w:p w:rsidR="00CF1A35" w:rsidP="00181D02" w:rsidRDefault="00CF1A35" w14:paraId="1C70F5D8" w14:textId="2299437E">
      <w:pPr>
        <w:pStyle w:val="ListParagraph"/>
        <w:numPr>
          <w:ilvl w:val="0"/>
          <w:numId w:val="1"/>
        </w:numPr>
        <w:rPr>
          <w:rFonts w:ascii="Times New Roman" w:hAnsi="Times New Roman" w:cs="Times New Roman"/>
        </w:rPr>
      </w:pPr>
      <w:r>
        <w:rPr>
          <w:rFonts w:ascii="Times New Roman" w:hAnsi="Times New Roman" w:cs="Times New Roman"/>
        </w:rPr>
        <w:t xml:space="preserve">Draft a letter setting out the reasons why </w:t>
      </w:r>
      <w:r w:rsidRPr="000E19E8" w:rsidR="000E19E8">
        <w:rPr>
          <w:rFonts w:ascii="Times New Roman" w:hAnsi="Times New Roman" w:cs="Times New Roman"/>
        </w:rPr>
        <w:t>§1110</w:t>
      </w:r>
      <w:r>
        <w:rPr>
          <w:rFonts w:ascii="Times New Roman" w:hAnsi="Times New Roman" w:cs="Times New Roman"/>
        </w:rPr>
        <w:t xml:space="preserve"> should be amended to apply to financiers and lessors of certain US documented vessels. </w:t>
      </w:r>
    </w:p>
    <w:p w:rsidRPr="00CF1A35" w:rsidR="00181D02" w:rsidP="00181D02" w:rsidRDefault="00CF1A35" w14:paraId="5BE2219A" w14:textId="245E5B04">
      <w:pPr>
        <w:pStyle w:val="ListParagraph"/>
        <w:numPr>
          <w:ilvl w:val="0"/>
          <w:numId w:val="1"/>
        </w:numPr>
        <w:rPr>
          <w:rFonts w:ascii="Times New Roman" w:hAnsi="Times New Roman" w:cs="Times New Roman"/>
        </w:rPr>
      </w:pPr>
      <w:r>
        <w:rPr>
          <w:rFonts w:ascii="Times New Roman" w:hAnsi="Times New Roman" w:cs="Times New Roman"/>
        </w:rPr>
        <w:t>Pass a resolution urging</w:t>
      </w:r>
      <w:r w:rsidRPr="00CF1A35" w:rsidR="005134DC">
        <w:rPr>
          <w:rFonts w:ascii="Times New Roman" w:hAnsi="Times New Roman" w:cs="Times New Roman"/>
        </w:rPr>
        <w:t xml:space="preserve"> the leadership of the MLA to p</w:t>
      </w:r>
      <w:r w:rsidRPr="00CF1A35" w:rsidR="000E19E8">
        <w:rPr>
          <w:rFonts w:ascii="Times New Roman" w:hAnsi="Times New Roman" w:cs="Times New Roman"/>
        </w:rPr>
        <w:t xml:space="preserve">etition Congress to amend </w:t>
      </w:r>
      <w:r w:rsidRPr="00CF1A35" w:rsidR="000E19E8">
        <w:rPr>
          <w:rFonts w:ascii="Times New Roman" w:hAnsi="Times New Roman" w:cs="Times New Roman"/>
        </w:rPr>
        <w:t xml:space="preserve">Section 1110 of the Bankruptcy Code to remove </w:t>
      </w:r>
      <w:r w:rsidRPr="00CF1A35" w:rsidR="00181D02">
        <w:rPr>
          <w:rFonts w:ascii="Times New Roman" w:hAnsi="Times New Roman" w:cs="Times New Roman"/>
        </w:rPr>
        <w:t xml:space="preserve">highlighted </w:t>
      </w:r>
      <w:r w:rsidRPr="00CF1A35" w:rsidR="000E19E8">
        <w:rPr>
          <w:rFonts w:ascii="Times New Roman" w:hAnsi="Times New Roman" w:cs="Times New Roman"/>
        </w:rPr>
        <w:t xml:space="preserve">obsolete reference to certificate of public convenience and necessity or permit issued by the Department of Transportation in </w:t>
      </w:r>
      <w:r w:rsidRPr="00CF1A35" w:rsidR="000E19E8">
        <w:rPr>
          <w:rFonts w:ascii="Times New Roman" w:hAnsi="Times New Roman" w:cs="Times New Roman"/>
        </w:rPr>
        <w:t>11 U.S.C. § 1110(a)(3)(B))</w:t>
      </w:r>
      <w:r w:rsidRPr="00CF1A35" w:rsidR="00181D02">
        <w:rPr>
          <w:rFonts w:ascii="Times New Roman" w:hAnsi="Times New Roman" w:cs="Times New Roman"/>
        </w:rPr>
        <w:t>, and replace it with language that would extend the rights and remedies available under 1110 to certain vessel financiers and lessors</w:t>
      </w:r>
      <w:r w:rsidRPr="00CF1A35" w:rsidR="007D028A">
        <w:rPr>
          <w:rFonts w:ascii="Times New Roman" w:hAnsi="Times New Roman" w:cs="Times New Roman"/>
        </w:rPr>
        <w:t xml:space="preserve">, </w:t>
      </w:r>
      <w:r w:rsidR="00972F7E">
        <w:rPr>
          <w:rFonts w:ascii="Times New Roman" w:hAnsi="Times New Roman" w:cs="Times New Roman"/>
        </w:rPr>
        <w:t>the scope of which is</w:t>
      </w:r>
      <w:r w:rsidRPr="00CF1A35" w:rsidR="007D028A">
        <w:rPr>
          <w:rFonts w:ascii="Times New Roman" w:hAnsi="Times New Roman" w:cs="Times New Roman"/>
        </w:rPr>
        <w:t xml:space="preserve"> discussed</w:t>
      </w:r>
      <w:r>
        <w:rPr>
          <w:rFonts w:ascii="Times New Roman" w:hAnsi="Times New Roman" w:cs="Times New Roman"/>
        </w:rPr>
        <w:t xml:space="preserve"> further</w:t>
      </w:r>
      <w:r w:rsidRPr="00CF1A35" w:rsidR="007D028A">
        <w:rPr>
          <w:rFonts w:ascii="Times New Roman" w:hAnsi="Times New Roman" w:cs="Times New Roman"/>
        </w:rPr>
        <w:t xml:space="preserve"> below</w:t>
      </w:r>
      <w:r w:rsidRPr="00CF1A35" w:rsidR="00181D02">
        <w:rPr>
          <w:rFonts w:ascii="Times New Roman" w:hAnsi="Times New Roman" w:cs="Times New Roman"/>
        </w:rPr>
        <w:t>.</w:t>
      </w:r>
    </w:p>
    <w:p w:rsidRPr="00CF1A35" w:rsidR="007D028A" w:rsidP="007D028A" w:rsidRDefault="00CF1A35" w14:paraId="6087CE95" w14:textId="17E6DB13">
      <w:pPr>
        <w:rPr>
          <w:rFonts w:ascii="Times New Roman" w:hAnsi="Times New Roman" w:cs="Times New Roman"/>
          <w:u w:val="single"/>
        </w:rPr>
      </w:pPr>
      <w:r>
        <w:rPr>
          <w:rFonts w:ascii="Times New Roman" w:hAnsi="Times New Roman" w:cs="Times New Roman"/>
          <w:u w:val="single"/>
        </w:rPr>
        <w:t xml:space="preserve">Further </w:t>
      </w:r>
      <w:r w:rsidRPr="00CF1A35" w:rsidR="007D028A">
        <w:rPr>
          <w:rFonts w:ascii="Times New Roman" w:hAnsi="Times New Roman" w:cs="Times New Roman"/>
          <w:u w:val="single"/>
        </w:rPr>
        <w:t>Points of Discussion</w:t>
      </w:r>
      <w:r>
        <w:rPr>
          <w:rFonts w:ascii="Times New Roman" w:hAnsi="Times New Roman" w:cs="Times New Roman"/>
          <w:u w:val="single"/>
        </w:rPr>
        <w:t xml:space="preserve"> for the Committee</w:t>
      </w:r>
    </w:p>
    <w:p w:rsidRPr="00CF1A35" w:rsidR="007D028A" w:rsidP="007D028A" w:rsidRDefault="007D028A" w14:paraId="25D6795F" w14:textId="573C41FA">
      <w:pPr>
        <w:pStyle w:val="ListParagraph"/>
        <w:numPr>
          <w:ilvl w:val="0"/>
          <w:numId w:val="1"/>
        </w:numPr>
        <w:rPr>
          <w:rFonts w:ascii="Times New Roman" w:hAnsi="Times New Roman" w:cs="Times New Roman"/>
        </w:rPr>
      </w:pPr>
      <w:r w:rsidRPr="00CF1A35">
        <w:rPr>
          <w:rFonts w:ascii="Times New Roman" w:hAnsi="Times New Roman" w:cs="Times New Roman"/>
        </w:rPr>
        <w:t xml:space="preserve">What type of vessels/water carriers should be subject to a revised </w:t>
      </w:r>
      <w:r w:rsidRPr="00CF1A35">
        <w:rPr>
          <w:rFonts w:ascii="Times New Roman" w:hAnsi="Times New Roman" w:cs="Times New Roman"/>
        </w:rPr>
        <w:t>Section 1110</w:t>
      </w:r>
      <w:r w:rsidRPr="00CF1A35">
        <w:rPr>
          <w:rFonts w:ascii="Times New Roman" w:hAnsi="Times New Roman" w:cs="Times New Roman"/>
        </w:rPr>
        <w:t>?</w:t>
      </w:r>
    </w:p>
    <w:p w:rsidRPr="00CF1A35" w:rsidR="007D028A" w:rsidP="007D028A" w:rsidRDefault="007D028A" w14:paraId="3DBBF321" w14:textId="3C3D22EA">
      <w:pPr>
        <w:pStyle w:val="ListParagraph"/>
        <w:numPr>
          <w:ilvl w:val="1"/>
          <w:numId w:val="1"/>
        </w:numPr>
        <w:rPr>
          <w:rFonts w:ascii="Times New Roman" w:hAnsi="Times New Roman" w:cs="Times New Roman"/>
        </w:rPr>
      </w:pPr>
      <w:r w:rsidRPr="00CF1A35">
        <w:rPr>
          <w:rFonts w:ascii="Times New Roman" w:hAnsi="Times New Roman" w:cs="Times New Roman"/>
        </w:rPr>
        <w:t>Documentation requirement under Ch 121 of title 46 should remain. But, should financiers/lessors of all documented vessels be given the protections afforded under Section 1110? Or should this be restricted to certain types or water carriers?</w:t>
      </w:r>
    </w:p>
    <w:p w:rsidRPr="007D028A" w:rsidR="007D028A" w:rsidP="007D028A" w:rsidRDefault="007D028A" w14:paraId="483764A0" w14:textId="05BD2771">
      <w:pPr>
        <w:pStyle w:val="ListParagraph"/>
        <w:numPr>
          <w:ilvl w:val="1"/>
          <w:numId w:val="1"/>
        </w:numPr>
        <w:rPr>
          <w:rFonts w:ascii="Times New Roman" w:hAnsi="Times New Roman" w:cs="Times New Roman"/>
        </w:rPr>
      </w:pPr>
      <w:r w:rsidRPr="007D028A">
        <w:rPr>
          <w:rFonts w:ascii="Times New Roman" w:hAnsi="Times New Roman" w:cs="Times New Roman"/>
        </w:rPr>
        <w:t>Should the types of water carrier covered by § 1110 be very limited (as they were under the I</w:t>
      </w:r>
      <w:r w:rsidRPr="00CF1A35" w:rsidR="00CF1A35">
        <w:rPr>
          <w:rFonts w:ascii="Times New Roman" w:hAnsi="Times New Roman" w:cs="Times New Roman"/>
        </w:rPr>
        <w:t xml:space="preserve">nterstate </w:t>
      </w:r>
      <w:r w:rsidRPr="007D028A">
        <w:rPr>
          <w:rFonts w:ascii="Times New Roman" w:hAnsi="Times New Roman" w:cs="Times New Roman"/>
        </w:rPr>
        <w:t>C</w:t>
      </w:r>
      <w:r w:rsidRPr="00CF1A35" w:rsidR="00CF1A35">
        <w:rPr>
          <w:rFonts w:ascii="Times New Roman" w:hAnsi="Times New Roman" w:cs="Times New Roman"/>
        </w:rPr>
        <w:t xml:space="preserve">ommerce </w:t>
      </w:r>
      <w:r w:rsidRPr="007D028A">
        <w:rPr>
          <w:rFonts w:ascii="Times New Roman" w:hAnsi="Times New Roman" w:cs="Times New Roman"/>
        </w:rPr>
        <w:t>A</w:t>
      </w:r>
      <w:r w:rsidRPr="00CF1A35" w:rsidR="00CF1A35">
        <w:rPr>
          <w:rFonts w:ascii="Times New Roman" w:hAnsi="Times New Roman" w:cs="Times New Roman"/>
        </w:rPr>
        <w:t>ct</w:t>
      </w:r>
      <w:r w:rsidRPr="007D028A">
        <w:rPr>
          <w:rFonts w:ascii="Times New Roman" w:hAnsi="Times New Roman" w:cs="Times New Roman"/>
        </w:rPr>
        <w:t xml:space="preserve">?), or should this be more expansive? </w:t>
      </w:r>
      <w:r w:rsidRPr="00CF1A35" w:rsidR="00CF1A35">
        <w:rPr>
          <w:rStyle w:val="FootnoteReference"/>
          <w:rFonts w:ascii="Times New Roman" w:hAnsi="Times New Roman" w:cs="Times New Roman"/>
        </w:rPr>
        <w:footnoteReference w:id="1"/>
      </w:r>
    </w:p>
    <w:p w:rsidRPr="007D028A" w:rsidR="007D028A" w:rsidP="007D028A" w:rsidRDefault="007D028A" w14:paraId="101C39BA" w14:textId="2CFC876E">
      <w:pPr>
        <w:pStyle w:val="ListParagraph"/>
        <w:numPr>
          <w:ilvl w:val="1"/>
          <w:numId w:val="1"/>
        </w:numPr>
        <w:rPr>
          <w:rFonts w:ascii="Times New Roman" w:hAnsi="Times New Roman" w:cs="Times New Roman"/>
        </w:rPr>
      </w:pPr>
      <w:r w:rsidRPr="007D028A">
        <w:rPr>
          <w:rFonts w:ascii="Times New Roman" w:hAnsi="Times New Roman" w:cs="Times New Roman"/>
        </w:rPr>
        <w:lastRenderedPageBreak/>
        <w:t>Include all water carriers, or only those operating in the domestic noncontiguous trade</w:t>
      </w:r>
      <w:r w:rsidRPr="00CF1A35" w:rsidR="00CF1A35">
        <w:rPr>
          <w:rFonts w:ascii="Times New Roman" w:hAnsi="Times New Roman" w:cs="Times New Roman"/>
        </w:rPr>
        <w:t xml:space="preserve"> that are </w:t>
      </w:r>
      <w:r w:rsidR="00D11D38">
        <w:rPr>
          <w:rFonts w:ascii="Times New Roman" w:hAnsi="Times New Roman" w:cs="Times New Roman"/>
        </w:rPr>
        <w:t xml:space="preserve">already </w:t>
      </w:r>
      <w:r w:rsidRPr="00CF1A35" w:rsidR="00CF1A35">
        <w:rPr>
          <w:rFonts w:ascii="Times New Roman" w:hAnsi="Times New Roman" w:cs="Times New Roman"/>
        </w:rPr>
        <w:t>subject to regulation by the Department of Transportation’s Surface Transportation Board</w:t>
      </w:r>
      <w:r w:rsidR="00D11D38">
        <w:rPr>
          <w:rFonts w:ascii="Times New Roman" w:hAnsi="Times New Roman" w:cs="Times New Roman"/>
        </w:rPr>
        <w:t xml:space="preserve"> with respect to tariffs</w:t>
      </w:r>
      <w:r w:rsidRPr="007D028A">
        <w:rPr>
          <w:rFonts w:ascii="Times New Roman" w:hAnsi="Times New Roman" w:cs="Times New Roman"/>
        </w:rPr>
        <w:t>?</w:t>
      </w:r>
      <w:r w:rsidRPr="00CF1A35" w:rsidR="00CF1A35">
        <w:rPr>
          <w:rStyle w:val="FootnoteReference"/>
          <w:rFonts w:ascii="Times New Roman" w:hAnsi="Times New Roman" w:cs="Times New Roman"/>
        </w:rPr>
        <w:footnoteReference w:id="2"/>
      </w:r>
    </w:p>
    <w:p w:rsidRPr="00D11D38" w:rsidR="007D028A" w:rsidP="00D11D38" w:rsidRDefault="007D028A" w14:paraId="16FE9064" w14:textId="2E5A0399">
      <w:pPr>
        <w:pStyle w:val="ListParagraph"/>
        <w:numPr>
          <w:ilvl w:val="1"/>
          <w:numId w:val="1"/>
        </w:numPr>
        <w:rPr>
          <w:rFonts w:ascii="Times New Roman" w:hAnsi="Times New Roman" w:cs="Times New Roman"/>
        </w:rPr>
      </w:pPr>
      <w:r w:rsidRPr="007D028A">
        <w:rPr>
          <w:rFonts w:ascii="Times New Roman" w:hAnsi="Times New Roman" w:cs="Times New Roman"/>
        </w:rPr>
        <w:t>What about other types of vessels in Jones Act trades, e.g. offshore wind vessels, oil &amp; gas, inland marine?</w:t>
      </w:r>
    </w:p>
    <w:p w:rsidRPr="00CF1A35" w:rsidR="000E19E8" w:rsidRDefault="000E19E8" w14:paraId="01AB5C2B" w14:textId="77777777">
      <w:pPr>
        <w:rPr>
          <w:rFonts w:ascii="Times New Roman" w:hAnsi="Times New Roman" w:cs="Times New Roman"/>
          <w:u w:val="single"/>
        </w:rPr>
      </w:pPr>
    </w:p>
    <w:p w:rsidRPr="00CF1A35" w:rsidR="000E19E8" w:rsidRDefault="000E19E8" w14:paraId="1DF7990A" w14:textId="3EB6E2DC">
      <w:pPr>
        <w:rPr>
          <w:rFonts w:ascii="Times New Roman" w:hAnsi="Times New Roman" w:cs="Times New Roman"/>
        </w:rPr>
      </w:pPr>
    </w:p>
    <w:p w:rsidRPr="00CF1A35" w:rsidR="000E19E8" w:rsidRDefault="000E19E8" w14:paraId="0929DDAE" w14:textId="77777777">
      <w:pPr>
        <w:rPr>
          <w:rFonts w:ascii="Times New Roman" w:hAnsi="Times New Roman" w:cs="Times New Roman"/>
        </w:rPr>
      </w:pPr>
    </w:p>
    <w:sectPr w:rsidRPr="00CF1A35" w:rsidR="000E19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100D" w:rsidP="00181D02" w:rsidRDefault="0065100D" w14:paraId="79E3630D" w14:textId="77777777">
      <w:pPr>
        <w:spacing w:after="0" w:line="240" w:lineRule="auto"/>
      </w:pPr>
      <w:r>
        <w:separator/>
      </w:r>
    </w:p>
  </w:endnote>
  <w:endnote w:type="continuationSeparator" w:id="0">
    <w:p w:rsidR="0065100D" w:rsidP="00181D02" w:rsidRDefault="0065100D" w14:paraId="14F3DF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100D" w:rsidP="00181D02" w:rsidRDefault="0065100D" w14:paraId="77A40A81" w14:textId="77777777">
      <w:pPr>
        <w:spacing w:after="0" w:line="240" w:lineRule="auto"/>
      </w:pPr>
      <w:r>
        <w:separator/>
      </w:r>
    </w:p>
  </w:footnote>
  <w:footnote w:type="continuationSeparator" w:id="0">
    <w:p w:rsidR="0065100D" w:rsidP="00181D02" w:rsidRDefault="0065100D" w14:paraId="4030403D" w14:textId="77777777">
      <w:pPr>
        <w:spacing w:after="0" w:line="240" w:lineRule="auto"/>
      </w:pPr>
      <w:r>
        <w:continuationSeparator/>
      </w:r>
    </w:p>
  </w:footnote>
  <w:footnote w:id="1">
    <w:p w:rsidRPr="00CF1A35" w:rsidR="00CF1A35" w:rsidP="00CF1A35" w:rsidRDefault="00CF1A35" w14:paraId="449ECAAE" w14:textId="7172F16F">
      <w:pPr>
        <w:pStyle w:val="FootnoteText"/>
        <w:rPr>
          <w:rFonts w:ascii="Times New Roman" w:hAnsi="Times New Roman" w:cs="Times New Roman"/>
        </w:rPr>
      </w:pPr>
      <w:r w:rsidRPr="00CF1A35">
        <w:rPr>
          <w:rStyle w:val="FootnoteReference"/>
          <w:rFonts w:ascii="Times New Roman" w:hAnsi="Times New Roman" w:cs="Times New Roman"/>
        </w:rPr>
        <w:footnoteRef/>
      </w:r>
      <w:r w:rsidRPr="00CF1A35">
        <w:rPr>
          <w:rFonts w:ascii="Times New Roman" w:hAnsi="Times New Roman" w:cs="Times New Roman"/>
        </w:rPr>
        <w:t xml:space="preserve">  </w:t>
      </w:r>
      <w:r w:rsidRPr="00CF1A35">
        <w:rPr>
          <w:rFonts w:ascii="Times New Roman" w:hAnsi="Times New Roman" w:cs="Times New Roman"/>
        </w:rPr>
        <w:t xml:space="preserve">Intent </w:t>
      </w:r>
      <w:r w:rsidRPr="00CF1A35">
        <w:rPr>
          <w:rFonts w:ascii="Times New Roman" w:hAnsi="Times New Roman" w:cs="Times New Roman"/>
        </w:rPr>
        <w:t xml:space="preserve">under the ICA </w:t>
      </w:r>
      <w:r w:rsidRPr="00CF1A35">
        <w:rPr>
          <w:rFonts w:ascii="Times New Roman" w:hAnsi="Times New Roman" w:cs="Times New Roman"/>
        </w:rPr>
        <w:t>was to regulate only those water carriers that substantially compete with railroads and motor carriers, so exceptions for all clearly non-competitive carriers including:</w:t>
      </w:r>
      <w:r w:rsidRPr="00CF1A35">
        <w:rPr>
          <w:rFonts w:ascii="Times New Roman" w:hAnsi="Times New Roman" w:cs="Times New Roman"/>
        </w:rPr>
        <w:t xml:space="preserve"> </w:t>
      </w:r>
      <w:r w:rsidRPr="00CF1A35">
        <w:rPr>
          <w:rFonts w:ascii="Times New Roman" w:hAnsi="Times New Roman" w:cs="Times New Roman"/>
        </w:rPr>
        <w:t>transportation by contract or common carriers of liquid cargoes in bulk in tank vessels</w:t>
      </w:r>
      <w:r w:rsidRPr="00CF1A35">
        <w:rPr>
          <w:rFonts w:ascii="Times New Roman" w:hAnsi="Times New Roman" w:cs="Times New Roman"/>
        </w:rPr>
        <w:t xml:space="preserve">, </w:t>
      </w:r>
      <w:r w:rsidRPr="00CF1A35">
        <w:rPr>
          <w:rFonts w:ascii="Times New Roman" w:hAnsi="Times New Roman" w:cs="Times New Roman"/>
        </w:rPr>
        <w:t>transportation by common or contract carrier of not more than three unwrapped bulk commodities, and</w:t>
      </w:r>
      <w:r w:rsidRPr="00CF1A35">
        <w:rPr>
          <w:rFonts w:ascii="Times New Roman" w:hAnsi="Times New Roman" w:cs="Times New Roman"/>
        </w:rPr>
        <w:t xml:space="preserve"> t</w:t>
      </w:r>
      <w:r w:rsidRPr="00CF1A35">
        <w:rPr>
          <w:rFonts w:ascii="Times New Roman" w:hAnsi="Times New Roman" w:cs="Times New Roman"/>
        </w:rPr>
        <w:t>ransportation by contract carriers on the Great Lakes of the same number of bulk commodities</w:t>
      </w:r>
      <w:r w:rsidRPr="00CF1A35">
        <w:rPr>
          <w:rFonts w:ascii="Times New Roman" w:hAnsi="Times New Roman" w:cs="Times New Roman"/>
        </w:rPr>
        <w:t>.</w:t>
      </w:r>
    </w:p>
  </w:footnote>
  <w:footnote w:id="2">
    <w:p w:rsidRPr="00CF1A35" w:rsidR="00CF1A35" w:rsidP="00CF1A35" w:rsidRDefault="00CF1A35" w14:paraId="7A27FE8A" w14:textId="760D051A">
      <w:pPr>
        <w:pStyle w:val="FootnoteText"/>
        <w:rPr>
          <w:rFonts w:ascii="Times New Roman" w:hAnsi="Times New Roman" w:cs="Times New Roman"/>
        </w:rPr>
      </w:pPr>
      <w:r w:rsidRPr="00CF1A35">
        <w:rPr>
          <w:rStyle w:val="FootnoteReference"/>
          <w:rFonts w:ascii="Times New Roman" w:hAnsi="Times New Roman" w:cs="Times New Roman"/>
        </w:rPr>
        <w:footnoteRef/>
      </w:r>
      <w:r w:rsidRPr="00CF1A35">
        <w:rPr>
          <w:rFonts w:ascii="Times New Roman" w:hAnsi="Times New Roman" w:cs="Times New Roman"/>
        </w:rPr>
        <w:t xml:space="preserve"> </w:t>
      </w:r>
      <w:r w:rsidRPr="00CF1A35">
        <w:rPr>
          <w:rFonts w:ascii="Times New Roman" w:hAnsi="Times New Roman" w:cs="Times New Roman"/>
        </w:rPr>
        <w:t>Pursuant to 49 U.S.C. § 13521, the Surface Transportation Board has jurisdiction over water carriers operating between U.S. states and in the U.S. non-contiguous domestic trade, meaning transportation from the contiguous 48 states to Alaska, Hawaii, Puerto Rico, Guam and other U.S. territories.  Under 49 U.S.C. §§ 13701 and 13702, water carriers operating in the domestic noncontiguous trade are required to maintain and file public tariffs containing their rates, charges, rules and service terms.</w:t>
      </w:r>
    </w:p>
    <w:p w:rsidRPr="00CF1A35" w:rsidR="00CF1A35" w:rsidRDefault="00CF1A35" w14:paraId="5A0AE134" w14:textId="6B5CE562">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F1A35" w:rsidR="00181D02" w:rsidP="00CF1A35" w:rsidRDefault="00CF1A35" w14:paraId="648B52B0" w14:textId="633F1577">
    <w:pPr>
      <w:pStyle w:val="Header"/>
      <w:jc w:val="right"/>
      <w:rPr>
        <w:rFonts w:ascii="Times New Roman" w:hAnsi="Times New Roman" w:cs="Times New Roman"/>
      </w:rPr>
    </w:pPr>
    <w:r>
      <w:rPr>
        <w:rFonts w:ascii="Times New Roman" w:hAnsi="Times New Roman" w:cs="Times New Roman"/>
      </w:rPr>
      <w:t xml:space="preserve">Draft of </w:t>
    </w:r>
    <w:r w:rsidRPr="00CF1A35" w:rsidR="00181D02">
      <w:rPr>
        <w:rFonts w:ascii="Times New Roman" w:hAnsi="Times New Roman" w:cs="Times New Roman"/>
      </w:rPr>
      <w:t>11/3/2021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77C3"/>
    <w:multiLevelType w:val="hybridMultilevel"/>
    <w:tmpl w:val="7B641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B44B6"/>
    <w:multiLevelType w:val="hybridMultilevel"/>
    <w:tmpl w:val="78A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F5B0A"/>
    <w:multiLevelType w:val="hybridMultilevel"/>
    <w:tmpl w:val="A10CEA94"/>
    <w:lvl w:ilvl="0" w:tplc="D974B194">
      <w:start w:val="1"/>
      <w:numFmt w:val="bullet"/>
      <w:lvlText w:val=""/>
      <w:lvlJc w:val="left"/>
      <w:pPr>
        <w:tabs>
          <w:tab w:val="num" w:pos="720"/>
        </w:tabs>
        <w:ind w:left="720" w:hanging="360"/>
      </w:pPr>
      <w:rPr>
        <w:rFonts w:ascii="Wingdings" w:hAnsi="Wingdings" w:hint="default"/>
      </w:rPr>
    </w:lvl>
    <w:lvl w:ilvl="1" w:tplc="2BA4BAC8" w:tentative="1">
      <w:start w:val="1"/>
      <w:numFmt w:val="bullet"/>
      <w:lvlText w:val=""/>
      <w:lvlJc w:val="left"/>
      <w:pPr>
        <w:tabs>
          <w:tab w:val="num" w:pos="1440"/>
        </w:tabs>
        <w:ind w:left="1440" w:hanging="360"/>
      </w:pPr>
      <w:rPr>
        <w:rFonts w:ascii="Wingdings" w:hAnsi="Wingdings" w:hint="default"/>
      </w:rPr>
    </w:lvl>
    <w:lvl w:ilvl="2" w:tplc="FA400F56" w:tentative="1">
      <w:start w:val="1"/>
      <w:numFmt w:val="bullet"/>
      <w:lvlText w:val=""/>
      <w:lvlJc w:val="left"/>
      <w:pPr>
        <w:tabs>
          <w:tab w:val="num" w:pos="2160"/>
        </w:tabs>
        <w:ind w:left="2160" w:hanging="360"/>
      </w:pPr>
      <w:rPr>
        <w:rFonts w:ascii="Wingdings" w:hAnsi="Wingdings" w:hint="default"/>
      </w:rPr>
    </w:lvl>
    <w:lvl w:ilvl="3" w:tplc="9F1203D6" w:tentative="1">
      <w:start w:val="1"/>
      <w:numFmt w:val="bullet"/>
      <w:lvlText w:val=""/>
      <w:lvlJc w:val="left"/>
      <w:pPr>
        <w:tabs>
          <w:tab w:val="num" w:pos="2880"/>
        </w:tabs>
        <w:ind w:left="2880" w:hanging="360"/>
      </w:pPr>
      <w:rPr>
        <w:rFonts w:ascii="Wingdings" w:hAnsi="Wingdings" w:hint="default"/>
      </w:rPr>
    </w:lvl>
    <w:lvl w:ilvl="4" w:tplc="A544C2A0" w:tentative="1">
      <w:start w:val="1"/>
      <w:numFmt w:val="bullet"/>
      <w:lvlText w:val=""/>
      <w:lvlJc w:val="left"/>
      <w:pPr>
        <w:tabs>
          <w:tab w:val="num" w:pos="3600"/>
        </w:tabs>
        <w:ind w:left="3600" w:hanging="360"/>
      </w:pPr>
      <w:rPr>
        <w:rFonts w:ascii="Wingdings" w:hAnsi="Wingdings" w:hint="default"/>
      </w:rPr>
    </w:lvl>
    <w:lvl w:ilvl="5" w:tplc="10E0CFD4" w:tentative="1">
      <w:start w:val="1"/>
      <w:numFmt w:val="bullet"/>
      <w:lvlText w:val=""/>
      <w:lvlJc w:val="left"/>
      <w:pPr>
        <w:tabs>
          <w:tab w:val="num" w:pos="4320"/>
        </w:tabs>
        <w:ind w:left="4320" w:hanging="360"/>
      </w:pPr>
      <w:rPr>
        <w:rFonts w:ascii="Wingdings" w:hAnsi="Wingdings" w:hint="default"/>
      </w:rPr>
    </w:lvl>
    <w:lvl w:ilvl="6" w:tplc="83DC04AE" w:tentative="1">
      <w:start w:val="1"/>
      <w:numFmt w:val="bullet"/>
      <w:lvlText w:val=""/>
      <w:lvlJc w:val="left"/>
      <w:pPr>
        <w:tabs>
          <w:tab w:val="num" w:pos="5040"/>
        </w:tabs>
        <w:ind w:left="5040" w:hanging="360"/>
      </w:pPr>
      <w:rPr>
        <w:rFonts w:ascii="Wingdings" w:hAnsi="Wingdings" w:hint="default"/>
      </w:rPr>
    </w:lvl>
    <w:lvl w:ilvl="7" w:tplc="F766A544" w:tentative="1">
      <w:start w:val="1"/>
      <w:numFmt w:val="bullet"/>
      <w:lvlText w:val=""/>
      <w:lvlJc w:val="left"/>
      <w:pPr>
        <w:tabs>
          <w:tab w:val="num" w:pos="5760"/>
        </w:tabs>
        <w:ind w:left="5760" w:hanging="360"/>
      </w:pPr>
      <w:rPr>
        <w:rFonts w:ascii="Wingdings" w:hAnsi="Wingdings" w:hint="default"/>
      </w:rPr>
    </w:lvl>
    <w:lvl w:ilvl="8" w:tplc="CEF4DF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CC6498"/>
    <w:multiLevelType w:val="hybridMultilevel"/>
    <w:tmpl w:val="ABC8CDE2"/>
    <w:lvl w:ilvl="0" w:tplc="FA66CA9C">
      <w:start w:val="1"/>
      <w:numFmt w:val="bullet"/>
      <w:lvlText w:val=""/>
      <w:lvlJc w:val="left"/>
      <w:pPr>
        <w:tabs>
          <w:tab w:val="num" w:pos="720"/>
        </w:tabs>
        <w:ind w:left="720" w:hanging="360"/>
      </w:pPr>
      <w:rPr>
        <w:rFonts w:ascii="Wingdings" w:hAnsi="Wingdings" w:hint="default"/>
      </w:rPr>
    </w:lvl>
    <w:lvl w:ilvl="1" w:tplc="46F483DA">
      <w:start w:val="20149"/>
      <w:numFmt w:val="bullet"/>
      <w:lvlText w:val="-"/>
      <w:lvlJc w:val="left"/>
      <w:pPr>
        <w:tabs>
          <w:tab w:val="num" w:pos="1440"/>
        </w:tabs>
        <w:ind w:left="1440" w:hanging="360"/>
      </w:pPr>
      <w:rPr>
        <w:rFonts w:ascii="Arial" w:hAnsi="Arial" w:hint="default"/>
      </w:rPr>
    </w:lvl>
    <w:lvl w:ilvl="2" w:tplc="B5842CEA" w:tentative="1">
      <w:start w:val="1"/>
      <w:numFmt w:val="bullet"/>
      <w:lvlText w:val=""/>
      <w:lvlJc w:val="left"/>
      <w:pPr>
        <w:tabs>
          <w:tab w:val="num" w:pos="2160"/>
        </w:tabs>
        <w:ind w:left="2160" w:hanging="360"/>
      </w:pPr>
      <w:rPr>
        <w:rFonts w:ascii="Wingdings" w:hAnsi="Wingdings" w:hint="default"/>
      </w:rPr>
    </w:lvl>
    <w:lvl w:ilvl="3" w:tplc="8F38F370" w:tentative="1">
      <w:start w:val="1"/>
      <w:numFmt w:val="bullet"/>
      <w:lvlText w:val=""/>
      <w:lvlJc w:val="left"/>
      <w:pPr>
        <w:tabs>
          <w:tab w:val="num" w:pos="2880"/>
        </w:tabs>
        <w:ind w:left="2880" w:hanging="360"/>
      </w:pPr>
      <w:rPr>
        <w:rFonts w:ascii="Wingdings" w:hAnsi="Wingdings" w:hint="default"/>
      </w:rPr>
    </w:lvl>
    <w:lvl w:ilvl="4" w:tplc="9FB4336A" w:tentative="1">
      <w:start w:val="1"/>
      <w:numFmt w:val="bullet"/>
      <w:lvlText w:val=""/>
      <w:lvlJc w:val="left"/>
      <w:pPr>
        <w:tabs>
          <w:tab w:val="num" w:pos="3600"/>
        </w:tabs>
        <w:ind w:left="3600" w:hanging="360"/>
      </w:pPr>
      <w:rPr>
        <w:rFonts w:ascii="Wingdings" w:hAnsi="Wingdings" w:hint="default"/>
      </w:rPr>
    </w:lvl>
    <w:lvl w:ilvl="5" w:tplc="E660AD36" w:tentative="1">
      <w:start w:val="1"/>
      <w:numFmt w:val="bullet"/>
      <w:lvlText w:val=""/>
      <w:lvlJc w:val="left"/>
      <w:pPr>
        <w:tabs>
          <w:tab w:val="num" w:pos="4320"/>
        </w:tabs>
        <w:ind w:left="4320" w:hanging="360"/>
      </w:pPr>
      <w:rPr>
        <w:rFonts w:ascii="Wingdings" w:hAnsi="Wingdings" w:hint="default"/>
      </w:rPr>
    </w:lvl>
    <w:lvl w:ilvl="6" w:tplc="6BF61922" w:tentative="1">
      <w:start w:val="1"/>
      <w:numFmt w:val="bullet"/>
      <w:lvlText w:val=""/>
      <w:lvlJc w:val="left"/>
      <w:pPr>
        <w:tabs>
          <w:tab w:val="num" w:pos="5040"/>
        </w:tabs>
        <w:ind w:left="5040" w:hanging="360"/>
      </w:pPr>
      <w:rPr>
        <w:rFonts w:ascii="Wingdings" w:hAnsi="Wingdings" w:hint="default"/>
      </w:rPr>
    </w:lvl>
    <w:lvl w:ilvl="7" w:tplc="765E6C56" w:tentative="1">
      <w:start w:val="1"/>
      <w:numFmt w:val="bullet"/>
      <w:lvlText w:val=""/>
      <w:lvlJc w:val="left"/>
      <w:pPr>
        <w:tabs>
          <w:tab w:val="num" w:pos="5760"/>
        </w:tabs>
        <w:ind w:left="5760" w:hanging="360"/>
      </w:pPr>
      <w:rPr>
        <w:rFonts w:ascii="Wingdings" w:hAnsi="Wingdings" w:hint="default"/>
      </w:rPr>
    </w:lvl>
    <w:lvl w:ilvl="8" w:tplc="B49446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5A36DC"/>
    <w:multiLevelType w:val="hybridMultilevel"/>
    <w:tmpl w:val="8FFAFB4C"/>
    <w:lvl w:ilvl="0" w:tplc="3B3CE97E">
      <w:start w:val="1"/>
      <w:numFmt w:val="bullet"/>
      <w:lvlText w:val=""/>
      <w:lvlJc w:val="left"/>
      <w:pPr>
        <w:tabs>
          <w:tab w:val="num" w:pos="720"/>
        </w:tabs>
        <w:ind w:left="720" w:hanging="360"/>
      </w:pPr>
      <w:rPr>
        <w:rFonts w:ascii="Wingdings" w:hAnsi="Wingdings" w:hint="default"/>
      </w:rPr>
    </w:lvl>
    <w:lvl w:ilvl="1" w:tplc="4F6096A8" w:tentative="1">
      <w:start w:val="1"/>
      <w:numFmt w:val="bullet"/>
      <w:lvlText w:val=""/>
      <w:lvlJc w:val="left"/>
      <w:pPr>
        <w:tabs>
          <w:tab w:val="num" w:pos="1440"/>
        </w:tabs>
        <w:ind w:left="1440" w:hanging="360"/>
      </w:pPr>
      <w:rPr>
        <w:rFonts w:ascii="Wingdings" w:hAnsi="Wingdings" w:hint="default"/>
      </w:rPr>
    </w:lvl>
    <w:lvl w:ilvl="2" w:tplc="4FE2070C" w:tentative="1">
      <w:start w:val="1"/>
      <w:numFmt w:val="bullet"/>
      <w:lvlText w:val=""/>
      <w:lvlJc w:val="left"/>
      <w:pPr>
        <w:tabs>
          <w:tab w:val="num" w:pos="2160"/>
        </w:tabs>
        <w:ind w:left="2160" w:hanging="360"/>
      </w:pPr>
      <w:rPr>
        <w:rFonts w:ascii="Wingdings" w:hAnsi="Wingdings" w:hint="default"/>
      </w:rPr>
    </w:lvl>
    <w:lvl w:ilvl="3" w:tplc="BAE0A6C2" w:tentative="1">
      <w:start w:val="1"/>
      <w:numFmt w:val="bullet"/>
      <w:lvlText w:val=""/>
      <w:lvlJc w:val="left"/>
      <w:pPr>
        <w:tabs>
          <w:tab w:val="num" w:pos="2880"/>
        </w:tabs>
        <w:ind w:left="2880" w:hanging="360"/>
      </w:pPr>
      <w:rPr>
        <w:rFonts w:ascii="Wingdings" w:hAnsi="Wingdings" w:hint="default"/>
      </w:rPr>
    </w:lvl>
    <w:lvl w:ilvl="4" w:tplc="0C9C1262" w:tentative="1">
      <w:start w:val="1"/>
      <w:numFmt w:val="bullet"/>
      <w:lvlText w:val=""/>
      <w:lvlJc w:val="left"/>
      <w:pPr>
        <w:tabs>
          <w:tab w:val="num" w:pos="3600"/>
        </w:tabs>
        <w:ind w:left="3600" w:hanging="360"/>
      </w:pPr>
      <w:rPr>
        <w:rFonts w:ascii="Wingdings" w:hAnsi="Wingdings" w:hint="default"/>
      </w:rPr>
    </w:lvl>
    <w:lvl w:ilvl="5" w:tplc="7E3E7928" w:tentative="1">
      <w:start w:val="1"/>
      <w:numFmt w:val="bullet"/>
      <w:lvlText w:val=""/>
      <w:lvlJc w:val="left"/>
      <w:pPr>
        <w:tabs>
          <w:tab w:val="num" w:pos="4320"/>
        </w:tabs>
        <w:ind w:left="4320" w:hanging="360"/>
      </w:pPr>
      <w:rPr>
        <w:rFonts w:ascii="Wingdings" w:hAnsi="Wingdings" w:hint="default"/>
      </w:rPr>
    </w:lvl>
    <w:lvl w:ilvl="6" w:tplc="64FEEA22" w:tentative="1">
      <w:start w:val="1"/>
      <w:numFmt w:val="bullet"/>
      <w:lvlText w:val=""/>
      <w:lvlJc w:val="left"/>
      <w:pPr>
        <w:tabs>
          <w:tab w:val="num" w:pos="5040"/>
        </w:tabs>
        <w:ind w:left="5040" w:hanging="360"/>
      </w:pPr>
      <w:rPr>
        <w:rFonts w:ascii="Wingdings" w:hAnsi="Wingdings" w:hint="default"/>
      </w:rPr>
    </w:lvl>
    <w:lvl w:ilvl="7" w:tplc="DCEE1A8C" w:tentative="1">
      <w:start w:val="1"/>
      <w:numFmt w:val="bullet"/>
      <w:lvlText w:val=""/>
      <w:lvlJc w:val="left"/>
      <w:pPr>
        <w:tabs>
          <w:tab w:val="num" w:pos="5760"/>
        </w:tabs>
        <w:ind w:left="5760" w:hanging="360"/>
      </w:pPr>
      <w:rPr>
        <w:rFonts w:ascii="Wingdings" w:hAnsi="Wingdings" w:hint="default"/>
      </w:rPr>
    </w:lvl>
    <w:lvl w:ilvl="8" w:tplc="D1E2817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E8"/>
    <w:rsid w:val="000E19E8"/>
    <w:rsid w:val="00181D02"/>
    <w:rsid w:val="005134DC"/>
    <w:rsid w:val="0065100D"/>
    <w:rsid w:val="007D028A"/>
    <w:rsid w:val="00972F7E"/>
    <w:rsid w:val="00C0252E"/>
    <w:rsid w:val="00CF1A35"/>
    <w:rsid w:val="00D11D38"/>
    <w:rsid w:val="00E4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A21A"/>
  <w15:chartTrackingRefBased/>
  <w15:docId w15:val="{BF25B66B-481F-4CC9-8AC2-78F11CEE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E19E8"/>
    <w:pPr>
      <w:ind w:left="720"/>
      <w:contextualSpacing/>
    </w:pPr>
  </w:style>
  <w:style w:type="paragraph" w:styleId="Header">
    <w:name w:val="header"/>
    <w:basedOn w:val="Normal"/>
    <w:link w:val="HeaderChar"/>
    <w:uiPriority w:val="99"/>
    <w:unhideWhenUsed/>
    <w:rsid w:val="00181D02"/>
    <w:pPr>
      <w:tabs>
        <w:tab w:val="center" w:pos="4680"/>
        <w:tab w:val="right" w:pos="9360"/>
      </w:tabs>
      <w:spacing w:after="0" w:line="240" w:lineRule="auto"/>
    </w:pPr>
  </w:style>
  <w:style w:type="character" w:styleId="HeaderChar" w:customStyle="1">
    <w:name w:val="Header Char"/>
    <w:basedOn w:val="DefaultParagraphFont"/>
    <w:link w:val="Header"/>
    <w:uiPriority w:val="99"/>
    <w:rsid w:val="00181D02"/>
  </w:style>
  <w:style w:type="paragraph" w:styleId="Footer">
    <w:name w:val="footer"/>
    <w:basedOn w:val="Normal"/>
    <w:link w:val="FooterChar"/>
    <w:uiPriority w:val="99"/>
    <w:unhideWhenUsed/>
    <w:rsid w:val="00181D0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81D02"/>
  </w:style>
  <w:style w:type="paragraph" w:styleId="FootnoteText">
    <w:name w:val="footnote text"/>
    <w:basedOn w:val="Normal"/>
    <w:link w:val="FootnoteTextChar"/>
    <w:uiPriority w:val="99"/>
    <w:semiHidden/>
    <w:unhideWhenUsed/>
    <w:rsid w:val="00CF1A3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F1A35"/>
    <w:rPr>
      <w:sz w:val="20"/>
      <w:szCs w:val="20"/>
    </w:rPr>
  </w:style>
  <w:style w:type="character" w:styleId="FootnoteReference">
    <w:name w:val="footnote reference"/>
    <w:basedOn w:val="DefaultParagraphFont"/>
    <w:uiPriority w:val="99"/>
    <w:semiHidden/>
    <w:unhideWhenUsed/>
    <w:rsid w:val="00CF1A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4186">
      <w:bodyDiv w:val="1"/>
      <w:marLeft w:val="0"/>
      <w:marRight w:val="0"/>
      <w:marTop w:val="0"/>
      <w:marBottom w:val="0"/>
      <w:divBdr>
        <w:top w:val="none" w:sz="0" w:space="0" w:color="auto"/>
        <w:left w:val="none" w:sz="0" w:space="0" w:color="auto"/>
        <w:bottom w:val="none" w:sz="0" w:space="0" w:color="auto"/>
        <w:right w:val="none" w:sz="0" w:space="0" w:color="auto"/>
      </w:divBdr>
      <w:divsChild>
        <w:div w:id="1263495037">
          <w:marLeft w:val="1080"/>
          <w:marRight w:val="0"/>
          <w:marTop w:val="100"/>
          <w:marBottom w:val="0"/>
          <w:divBdr>
            <w:top w:val="none" w:sz="0" w:space="0" w:color="auto"/>
            <w:left w:val="none" w:sz="0" w:space="0" w:color="auto"/>
            <w:bottom w:val="none" w:sz="0" w:space="0" w:color="auto"/>
            <w:right w:val="none" w:sz="0" w:space="0" w:color="auto"/>
          </w:divBdr>
        </w:div>
        <w:div w:id="576861868">
          <w:marLeft w:val="1080"/>
          <w:marRight w:val="0"/>
          <w:marTop w:val="100"/>
          <w:marBottom w:val="0"/>
          <w:divBdr>
            <w:top w:val="none" w:sz="0" w:space="0" w:color="auto"/>
            <w:left w:val="none" w:sz="0" w:space="0" w:color="auto"/>
            <w:bottom w:val="none" w:sz="0" w:space="0" w:color="auto"/>
            <w:right w:val="none" w:sz="0" w:space="0" w:color="auto"/>
          </w:divBdr>
        </w:div>
      </w:divsChild>
    </w:div>
    <w:div w:id="579681478">
      <w:bodyDiv w:val="1"/>
      <w:marLeft w:val="0"/>
      <w:marRight w:val="0"/>
      <w:marTop w:val="0"/>
      <w:marBottom w:val="0"/>
      <w:divBdr>
        <w:top w:val="none" w:sz="0" w:space="0" w:color="auto"/>
        <w:left w:val="none" w:sz="0" w:space="0" w:color="auto"/>
        <w:bottom w:val="none" w:sz="0" w:space="0" w:color="auto"/>
        <w:right w:val="none" w:sz="0" w:space="0" w:color="auto"/>
      </w:divBdr>
      <w:divsChild>
        <w:div w:id="623272858">
          <w:marLeft w:val="360"/>
          <w:marRight w:val="0"/>
          <w:marTop w:val="200"/>
          <w:marBottom w:val="0"/>
          <w:divBdr>
            <w:top w:val="none" w:sz="0" w:space="0" w:color="auto"/>
            <w:left w:val="none" w:sz="0" w:space="0" w:color="auto"/>
            <w:bottom w:val="none" w:sz="0" w:space="0" w:color="auto"/>
            <w:right w:val="none" w:sz="0" w:space="0" w:color="auto"/>
          </w:divBdr>
        </w:div>
        <w:div w:id="1822649950">
          <w:marLeft w:val="1080"/>
          <w:marRight w:val="0"/>
          <w:marTop w:val="100"/>
          <w:marBottom w:val="0"/>
          <w:divBdr>
            <w:top w:val="none" w:sz="0" w:space="0" w:color="auto"/>
            <w:left w:val="none" w:sz="0" w:space="0" w:color="auto"/>
            <w:bottom w:val="none" w:sz="0" w:space="0" w:color="auto"/>
            <w:right w:val="none" w:sz="0" w:space="0" w:color="auto"/>
          </w:divBdr>
        </w:div>
        <w:div w:id="1612274355">
          <w:marLeft w:val="1080"/>
          <w:marRight w:val="0"/>
          <w:marTop w:val="100"/>
          <w:marBottom w:val="0"/>
          <w:divBdr>
            <w:top w:val="none" w:sz="0" w:space="0" w:color="auto"/>
            <w:left w:val="none" w:sz="0" w:space="0" w:color="auto"/>
            <w:bottom w:val="none" w:sz="0" w:space="0" w:color="auto"/>
            <w:right w:val="none" w:sz="0" w:space="0" w:color="auto"/>
          </w:divBdr>
        </w:div>
      </w:divsChild>
    </w:div>
    <w:div w:id="783885358">
      <w:bodyDiv w:val="1"/>
      <w:marLeft w:val="0"/>
      <w:marRight w:val="0"/>
      <w:marTop w:val="0"/>
      <w:marBottom w:val="0"/>
      <w:divBdr>
        <w:top w:val="none" w:sz="0" w:space="0" w:color="auto"/>
        <w:left w:val="none" w:sz="0" w:space="0" w:color="auto"/>
        <w:bottom w:val="none" w:sz="0" w:space="0" w:color="auto"/>
        <w:right w:val="none" w:sz="0" w:space="0" w:color="auto"/>
      </w:divBdr>
      <w:divsChild>
        <w:div w:id="1096364185">
          <w:marLeft w:val="360"/>
          <w:marRight w:val="0"/>
          <w:marTop w:val="200"/>
          <w:marBottom w:val="0"/>
          <w:divBdr>
            <w:top w:val="none" w:sz="0" w:space="0" w:color="auto"/>
            <w:left w:val="none" w:sz="0" w:space="0" w:color="auto"/>
            <w:bottom w:val="none" w:sz="0" w:space="0" w:color="auto"/>
            <w:right w:val="none" w:sz="0" w:space="0" w:color="auto"/>
          </w:divBdr>
        </w:div>
        <w:div w:id="1980183039">
          <w:marLeft w:val="1080"/>
          <w:marRight w:val="0"/>
          <w:marTop w:val="100"/>
          <w:marBottom w:val="0"/>
          <w:divBdr>
            <w:top w:val="none" w:sz="0" w:space="0" w:color="auto"/>
            <w:left w:val="none" w:sz="0" w:space="0" w:color="auto"/>
            <w:bottom w:val="none" w:sz="0" w:space="0" w:color="auto"/>
            <w:right w:val="none" w:sz="0" w:space="0" w:color="auto"/>
          </w:divBdr>
        </w:div>
        <w:div w:id="423569907">
          <w:marLeft w:val="1080"/>
          <w:marRight w:val="0"/>
          <w:marTop w:val="100"/>
          <w:marBottom w:val="0"/>
          <w:divBdr>
            <w:top w:val="none" w:sz="0" w:space="0" w:color="auto"/>
            <w:left w:val="none" w:sz="0" w:space="0" w:color="auto"/>
            <w:bottom w:val="none" w:sz="0" w:space="0" w:color="auto"/>
            <w:right w:val="none" w:sz="0" w:space="0" w:color="auto"/>
          </w:divBdr>
        </w:div>
        <w:div w:id="2077048373">
          <w:marLeft w:val="1080"/>
          <w:marRight w:val="0"/>
          <w:marTop w:val="100"/>
          <w:marBottom w:val="0"/>
          <w:divBdr>
            <w:top w:val="none" w:sz="0" w:space="0" w:color="auto"/>
            <w:left w:val="none" w:sz="0" w:space="0" w:color="auto"/>
            <w:bottom w:val="none" w:sz="0" w:space="0" w:color="auto"/>
            <w:right w:val="none" w:sz="0" w:space="0" w:color="auto"/>
          </w:divBdr>
        </w:div>
        <w:div w:id="648363484">
          <w:marLeft w:val="360"/>
          <w:marRight w:val="0"/>
          <w:marTop w:val="200"/>
          <w:marBottom w:val="0"/>
          <w:divBdr>
            <w:top w:val="none" w:sz="0" w:space="0" w:color="auto"/>
            <w:left w:val="none" w:sz="0" w:space="0" w:color="auto"/>
            <w:bottom w:val="none" w:sz="0" w:space="0" w:color="auto"/>
            <w:right w:val="none" w:sz="0" w:space="0" w:color="auto"/>
          </w:divBdr>
        </w:div>
        <w:div w:id="2046445112">
          <w:marLeft w:val="1080"/>
          <w:marRight w:val="0"/>
          <w:marTop w:val="100"/>
          <w:marBottom w:val="0"/>
          <w:divBdr>
            <w:top w:val="none" w:sz="0" w:space="0" w:color="auto"/>
            <w:left w:val="none" w:sz="0" w:space="0" w:color="auto"/>
            <w:bottom w:val="none" w:sz="0" w:space="0" w:color="auto"/>
            <w:right w:val="none" w:sz="0" w:space="0" w:color="auto"/>
          </w:divBdr>
        </w:div>
        <w:div w:id="1762337667">
          <w:marLeft w:val="1080"/>
          <w:marRight w:val="0"/>
          <w:marTop w:val="100"/>
          <w:marBottom w:val="0"/>
          <w:divBdr>
            <w:top w:val="none" w:sz="0" w:space="0" w:color="auto"/>
            <w:left w:val="none" w:sz="0" w:space="0" w:color="auto"/>
            <w:bottom w:val="none" w:sz="0" w:space="0" w:color="auto"/>
            <w:right w:val="none" w:sz="0" w:space="0" w:color="auto"/>
          </w:divBdr>
        </w:div>
        <w:div w:id="1386875257">
          <w:marLeft w:val="1080"/>
          <w:marRight w:val="0"/>
          <w:marTop w:val="100"/>
          <w:marBottom w:val="0"/>
          <w:divBdr>
            <w:top w:val="none" w:sz="0" w:space="0" w:color="auto"/>
            <w:left w:val="none" w:sz="0" w:space="0" w:color="auto"/>
            <w:bottom w:val="none" w:sz="0" w:space="0" w:color="auto"/>
            <w:right w:val="none" w:sz="0" w:space="0" w:color="auto"/>
          </w:divBdr>
        </w:div>
        <w:div w:id="934245082">
          <w:marLeft w:val="1080"/>
          <w:marRight w:val="0"/>
          <w:marTop w:val="100"/>
          <w:marBottom w:val="0"/>
          <w:divBdr>
            <w:top w:val="none" w:sz="0" w:space="0" w:color="auto"/>
            <w:left w:val="none" w:sz="0" w:space="0" w:color="auto"/>
            <w:bottom w:val="none" w:sz="0" w:space="0" w:color="auto"/>
            <w:right w:val="none" w:sz="0" w:space="0" w:color="auto"/>
          </w:divBdr>
        </w:div>
        <w:div w:id="1368680987">
          <w:marLeft w:val="1080"/>
          <w:marRight w:val="0"/>
          <w:marTop w:val="100"/>
          <w:marBottom w:val="0"/>
          <w:divBdr>
            <w:top w:val="none" w:sz="0" w:space="0" w:color="auto"/>
            <w:left w:val="none" w:sz="0" w:space="0" w:color="auto"/>
            <w:bottom w:val="none" w:sz="0" w:space="0" w:color="auto"/>
            <w:right w:val="none" w:sz="0" w:space="0" w:color="auto"/>
          </w:divBdr>
        </w:div>
      </w:divsChild>
    </w:div>
    <w:div w:id="1195575044">
      <w:bodyDiv w:val="1"/>
      <w:marLeft w:val="0"/>
      <w:marRight w:val="0"/>
      <w:marTop w:val="0"/>
      <w:marBottom w:val="0"/>
      <w:divBdr>
        <w:top w:val="none" w:sz="0" w:space="0" w:color="auto"/>
        <w:left w:val="none" w:sz="0" w:space="0" w:color="auto"/>
        <w:bottom w:val="none" w:sz="0" w:space="0" w:color="auto"/>
        <w:right w:val="none" w:sz="0" w:space="0" w:color="auto"/>
      </w:divBdr>
      <w:divsChild>
        <w:div w:id="1067462426">
          <w:marLeft w:val="360"/>
          <w:marRight w:val="0"/>
          <w:marTop w:val="200"/>
          <w:marBottom w:val="0"/>
          <w:divBdr>
            <w:top w:val="none" w:sz="0" w:space="0" w:color="auto"/>
            <w:left w:val="none" w:sz="0" w:space="0" w:color="auto"/>
            <w:bottom w:val="none" w:sz="0" w:space="0" w:color="auto"/>
            <w:right w:val="none" w:sz="0" w:space="0" w:color="auto"/>
          </w:divBdr>
        </w:div>
        <w:div w:id="588276963">
          <w:marLeft w:val="360"/>
          <w:marRight w:val="0"/>
          <w:marTop w:val="200"/>
          <w:marBottom w:val="0"/>
          <w:divBdr>
            <w:top w:val="none" w:sz="0" w:space="0" w:color="auto"/>
            <w:left w:val="none" w:sz="0" w:space="0" w:color="auto"/>
            <w:bottom w:val="none" w:sz="0" w:space="0" w:color="auto"/>
            <w:right w:val="none" w:sz="0" w:space="0" w:color="auto"/>
          </w:divBdr>
        </w:div>
        <w:div w:id="1614944223">
          <w:marLeft w:val="360"/>
          <w:marRight w:val="0"/>
          <w:marTop w:val="200"/>
          <w:marBottom w:val="0"/>
          <w:divBdr>
            <w:top w:val="none" w:sz="0" w:space="0" w:color="auto"/>
            <w:left w:val="none" w:sz="0" w:space="0" w:color="auto"/>
            <w:bottom w:val="none" w:sz="0" w:space="0" w:color="auto"/>
            <w:right w:val="none" w:sz="0" w:space="0" w:color="auto"/>
          </w:divBdr>
        </w:div>
      </w:divsChild>
    </w:div>
    <w:div w:id="1296132429">
      <w:bodyDiv w:val="1"/>
      <w:marLeft w:val="0"/>
      <w:marRight w:val="0"/>
      <w:marTop w:val="0"/>
      <w:marBottom w:val="0"/>
      <w:divBdr>
        <w:top w:val="none" w:sz="0" w:space="0" w:color="auto"/>
        <w:left w:val="none" w:sz="0" w:space="0" w:color="auto"/>
        <w:bottom w:val="none" w:sz="0" w:space="0" w:color="auto"/>
        <w:right w:val="none" w:sz="0" w:space="0" w:color="auto"/>
      </w:divBdr>
      <w:divsChild>
        <w:div w:id="1260530513">
          <w:marLeft w:val="360"/>
          <w:marRight w:val="0"/>
          <w:marTop w:val="200"/>
          <w:marBottom w:val="0"/>
          <w:divBdr>
            <w:top w:val="none" w:sz="0" w:space="0" w:color="auto"/>
            <w:left w:val="none" w:sz="0" w:space="0" w:color="auto"/>
            <w:bottom w:val="none" w:sz="0" w:space="0" w:color="auto"/>
            <w:right w:val="none" w:sz="0" w:space="0" w:color="auto"/>
          </w:divBdr>
        </w:div>
        <w:div w:id="1007555241">
          <w:marLeft w:val="1080"/>
          <w:marRight w:val="0"/>
          <w:marTop w:val="100"/>
          <w:marBottom w:val="0"/>
          <w:divBdr>
            <w:top w:val="none" w:sz="0" w:space="0" w:color="auto"/>
            <w:left w:val="none" w:sz="0" w:space="0" w:color="auto"/>
            <w:bottom w:val="none" w:sz="0" w:space="0" w:color="auto"/>
            <w:right w:val="none" w:sz="0" w:space="0" w:color="auto"/>
          </w:divBdr>
        </w:div>
        <w:div w:id="375932173">
          <w:marLeft w:val="1080"/>
          <w:marRight w:val="0"/>
          <w:marTop w:val="100"/>
          <w:marBottom w:val="0"/>
          <w:divBdr>
            <w:top w:val="none" w:sz="0" w:space="0" w:color="auto"/>
            <w:left w:val="none" w:sz="0" w:space="0" w:color="auto"/>
            <w:bottom w:val="none" w:sz="0" w:space="0" w:color="auto"/>
            <w:right w:val="none" w:sz="0" w:space="0" w:color="auto"/>
          </w:divBdr>
        </w:div>
        <w:div w:id="710112690">
          <w:marLeft w:val="1080"/>
          <w:marRight w:val="0"/>
          <w:marTop w:val="100"/>
          <w:marBottom w:val="0"/>
          <w:divBdr>
            <w:top w:val="none" w:sz="0" w:space="0" w:color="auto"/>
            <w:left w:val="none" w:sz="0" w:space="0" w:color="auto"/>
            <w:bottom w:val="none" w:sz="0" w:space="0" w:color="auto"/>
            <w:right w:val="none" w:sz="0" w:space="0" w:color="auto"/>
          </w:divBdr>
        </w:div>
      </w:divsChild>
    </w:div>
    <w:div w:id="1351221845">
      <w:bodyDiv w:val="1"/>
      <w:marLeft w:val="0"/>
      <w:marRight w:val="0"/>
      <w:marTop w:val="0"/>
      <w:marBottom w:val="0"/>
      <w:divBdr>
        <w:top w:val="none" w:sz="0" w:space="0" w:color="auto"/>
        <w:left w:val="none" w:sz="0" w:space="0" w:color="auto"/>
        <w:bottom w:val="none" w:sz="0" w:space="0" w:color="auto"/>
        <w:right w:val="none" w:sz="0" w:space="0" w:color="auto"/>
      </w:divBdr>
      <w:divsChild>
        <w:div w:id="1073310123">
          <w:marLeft w:val="360"/>
          <w:marRight w:val="0"/>
          <w:marTop w:val="200"/>
          <w:marBottom w:val="0"/>
          <w:divBdr>
            <w:top w:val="none" w:sz="0" w:space="0" w:color="auto"/>
            <w:left w:val="none" w:sz="0" w:space="0" w:color="auto"/>
            <w:bottom w:val="none" w:sz="0" w:space="0" w:color="auto"/>
            <w:right w:val="none" w:sz="0" w:space="0" w:color="auto"/>
          </w:divBdr>
        </w:div>
        <w:div w:id="1914612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1900-01-01T07:00:00.0000000Z</dcterms:created>
  <dcterms:modified xsi:type="dcterms:W3CDTF">1900-01-01T07:00:00.0000000Z</dcterms:modified>
</coreProperties>
</file>