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120A" w14:textId="52545682" w:rsidR="00BF3EBC" w:rsidRDefault="00BF3EBC" w:rsidP="00BF3EBC">
      <w:pPr>
        <w:autoSpaceDE w:val="0"/>
        <w:autoSpaceDN w:val="0"/>
        <w:adjustRightInd w:val="0"/>
        <w:spacing w:after="0" w:line="240" w:lineRule="auto"/>
        <w:jc w:val="center"/>
        <w:rPr>
          <w:rFonts w:ascii="TimesNewRoman,Bold" w:hAnsi="TimesNewRoman,Bold" w:cs="TimesNewRoman,Bold"/>
          <w:b/>
          <w:bCs/>
          <w:color w:val="1F3864"/>
          <w:sz w:val="32"/>
          <w:szCs w:val="32"/>
        </w:rPr>
      </w:pPr>
      <w:r>
        <w:rPr>
          <w:rFonts w:ascii="TimesNewRoman,Bold" w:hAnsi="TimesNewRoman,Bold" w:cs="TimesNewRoman,Bold"/>
          <w:b/>
          <w:noProof/>
          <w:color w:val="1F3864"/>
          <w:sz w:val="32"/>
          <w:szCs w:val="32"/>
        </w:rPr>
        <w:drawing>
          <wp:inline distT="0" distB="0" distL="0" distR="0" wp14:anchorId="064FCE40" wp14:editId="2F6F0D0C">
            <wp:extent cx="1200150" cy="1104900"/>
            <wp:effectExtent l="0" t="0" r="0" b="0"/>
            <wp:docPr id="1687262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inline>
        </w:drawing>
      </w:r>
    </w:p>
    <w:p w14:paraId="50C8EA97" w14:textId="77777777" w:rsidR="00BF3EBC" w:rsidRDefault="00BF3EBC" w:rsidP="00BF3EBC">
      <w:pPr>
        <w:pStyle w:val="Default"/>
        <w:rPr>
          <w:b/>
          <w:bCs/>
          <w:color w:val="002060"/>
        </w:rPr>
      </w:pPr>
    </w:p>
    <w:p w14:paraId="46DC7E58" w14:textId="77777777" w:rsidR="00BF3EBC" w:rsidRDefault="00BF3EBC" w:rsidP="00BF3EBC">
      <w:pPr>
        <w:pStyle w:val="Default"/>
        <w:jc w:val="center"/>
        <w:rPr>
          <w:b/>
          <w:bCs/>
          <w:color w:val="44546A" w:themeColor="text2"/>
          <w:sz w:val="28"/>
          <w:szCs w:val="28"/>
        </w:rPr>
      </w:pPr>
      <w:r>
        <w:rPr>
          <w:b/>
          <w:bCs/>
          <w:color w:val="44546A" w:themeColor="text2"/>
          <w:sz w:val="28"/>
          <w:szCs w:val="28"/>
        </w:rPr>
        <w:t>Notice of Meeting and Preliminary Agenda for the Joint Meeting of the</w:t>
      </w:r>
    </w:p>
    <w:p w14:paraId="13E7C77E" w14:textId="77777777" w:rsidR="00BF3EBC" w:rsidRDefault="00BF3EBC" w:rsidP="00BF3EBC">
      <w:pPr>
        <w:pStyle w:val="Default"/>
        <w:jc w:val="center"/>
        <w:rPr>
          <w:b/>
          <w:bCs/>
          <w:color w:val="44546A" w:themeColor="text2"/>
          <w:sz w:val="28"/>
          <w:szCs w:val="28"/>
        </w:rPr>
      </w:pPr>
      <w:r>
        <w:rPr>
          <w:b/>
          <w:bCs/>
          <w:color w:val="44546A" w:themeColor="text2"/>
          <w:sz w:val="28"/>
          <w:szCs w:val="28"/>
        </w:rPr>
        <w:t>Salvage Committee and Uniformity Committee</w:t>
      </w:r>
    </w:p>
    <w:p w14:paraId="3DDCF83A" w14:textId="77777777" w:rsidR="00BF3EBC" w:rsidRDefault="00BF3EBC" w:rsidP="00BF3EBC">
      <w:pPr>
        <w:pStyle w:val="Default"/>
        <w:jc w:val="center"/>
        <w:rPr>
          <w:color w:val="44546A" w:themeColor="text2"/>
        </w:rPr>
      </w:pPr>
      <w:r>
        <w:rPr>
          <w:b/>
          <w:bCs/>
          <w:color w:val="44546A" w:themeColor="text2"/>
          <w:sz w:val="28"/>
          <w:szCs w:val="28"/>
        </w:rPr>
        <w:t>Agenda and CLE Program</w:t>
      </w:r>
      <w:r>
        <w:rPr>
          <w:b/>
          <w:bCs/>
          <w:color w:val="44546A" w:themeColor="text2"/>
          <w:sz w:val="28"/>
          <w:szCs w:val="28"/>
        </w:rPr>
        <w:br/>
      </w:r>
    </w:p>
    <w:p w14:paraId="612B9F89" w14:textId="77777777" w:rsidR="00BF3EBC" w:rsidRDefault="00BF3EBC" w:rsidP="00BF3EBC">
      <w:pPr>
        <w:pStyle w:val="Default"/>
        <w:jc w:val="center"/>
        <w:rPr>
          <w:color w:val="44546A" w:themeColor="text2"/>
        </w:rPr>
      </w:pPr>
      <w:r>
        <w:rPr>
          <w:color w:val="44546A" w:themeColor="text2"/>
        </w:rPr>
        <w:t>Thursday, May 2, 2024</w:t>
      </w:r>
    </w:p>
    <w:p w14:paraId="61943C22" w14:textId="02532765" w:rsidR="00BF3EBC" w:rsidRDefault="00BF3EBC" w:rsidP="00BF3EBC">
      <w:pPr>
        <w:pStyle w:val="Default"/>
        <w:jc w:val="center"/>
        <w:rPr>
          <w:color w:val="44546A" w:themeColor="text2"/>
        </w:rPr>
      </w:pPr>
      <w:r>
        <w:rPr>
          <w:color w:val="44546A" w:themeColor="text2"/>
        </w:rPr>
        <w:t>2:30 p.m.</w:t>
      </w:r>
      <w:r w:rsidR="00D91C65">
        <w:rPr>
          <w:color w:val="44546A" w:themeColor="text2"/>
        </w:rPr>
        <w:t xml:space="preserve"> </w:t>
      </w:r>
      <w:r>
        <w:rPr>
          <w:color w:val="44546A" w:themeColor="text2"/>
        </w:rPr>
        <w:t>EST</w:t>
      </w:r>
    </w:p>
    <w:p w14:paraId="0ED3DDBD" w14:textId="77777777" w:rsidR="00BF3EBC" w:rsidRDefault="00BF3EBC" w:rsidP="00BF3EBC">
      <w:pPr>
        <w:pStyle w:val="Default"/>
        <w:jc w:val="center"/>
        <w:rPr>
          <w:color w:val="44546A" w:themeColor="text2"/>
        </w:rPr>
      </w:pPr>
    </w:p>
    <w:p w14:paraId="70EE5906" w14:textId="77777777" w:rsidR="00BF3EBC" w:rsidRDefault="00BF3EBC" w:rsidP="00BF3EBC">
      <w:pPr>
        <w:pStyle w:val="Default"/>
        <w:jc w:val="center"/>
        <w:rPr>
          <w:color w:val="44546A" w:themeColor="text2"/>
        </w:rPr>
      </w:pPr>
      <w:r>
        <w:rPr>
          <w:b/>
          <w:bCs/>
          <w:i/>
          <w:iCs/>
          <w:color w:val="44546A" w:themeColor="text2"/>
        </w:rPr>
        <w:t>In Person</w:t>
      </w:r>
      <w:r>
        <w:rPr>
          <w:i/>
          <w:iCs/>
          <w:color w:val="44546A" w:themeColor="text2"/>
        </w:rPr>
        <w:t>:</w:t>
      </w:r>
      <w:r>
        <w:rPr>
          <w:color w:val="44546A" w:themeColor="text2"/>
        </w:rPr>
        <w:t xml:space="preserve"> </w:t>
      </w:r>
      <w:r>
        <w:rPr>
          <w:i/>
          <w:iCs/>
          <w:color w:val="44546A" w:themeColor="text2"/>
        </w:rPr>
        <w:t xml:space="preserve">Holland &amp; Knight Law Firm, 787 7th Avenue – 31st Floor, New York, NY 10019 </w:t>
      </w:r>
    </w:p>
    <w:p w14:paraId="02DA3252" w14:textId="77777777" w:rsidR="00BF3EBC" w:rsidRDefault="00BF3EBC" w:rsidP="00BF3EBC">
      <w:pPr>
        <w:pStyle w:val="Default"/>
        <w:jc w:val="center"/>
        <w:rPr>
          <w:color w:val="002060"/>
          <w:highlight w:val="yellow"/>
        </w:rPr>
      </w:pPr>
      <w:r>
        <w:rPr>
          <w:i/>
          <w:iCs/>
          <w:color w:val="002060"/>
          <w:highlight w:val="yellow"/>
        </w:rPr>
        <w:t>Please register here for building security by April 25, 2024</w:t>
      </w:r>
      <w:r>
        <w:rPr>
          <w:color w:val="002060"/>
          <w:highlight w:val="yellow"/>
        </w:rPr>
        <w:t xml:space="preserve">: </w:t>
      </w:r>
    </w:p>
    <w:p w14:paraId="07C92013" w14:textId="77777777" w:rsidR="00BF3EBC" w:rsidRDefault="00BF3EBC" w:rsidP="00BF3EBC">
      <w:pPr>
        <w:pStyle w:val="Default"/>
        <w:jc w:val="both"/>
        <w:rPr>
          <w:b/>
          <w:bCs/>
          <w:i/>
          <w:iCs/>
          <w:color w:val="002060"/>
          <w:highlight w:val="yellow"/>
        </w:rPr>
      </w:pPr>
    </w:p>
    <w:p w14:paraId="49E039CB" w14:textId="77777777" w:rsidR="00BF3EBC" w:rsidRDefault="00BF3EBC" w:rsidP="00BF3EBC">
      <w:pPr>
        <w:pStyle w:val="Default"/>
        <w:jc w:val="center"/>
        <w:rPr>
          <w:color w:val="002060"/>
        </w:rPr>
      </w:pPr>
      <w:r>
        <w:rPr>
          <w:b/>
          <w:bCs/>
          <w:i/>
          <w:iCs/>
          <w:color w:val="002060"/>
          <w:highlight w:val="yellow"/>
        </w:rPr>
        <w:t>Remote Attendance</w:t>
      </w:r>
      <w:r>
        <w:rPr>
          <w:i/>
          <w:iCs/>
          <w:color w:val="002060"/>
          <w:highlight w:val="yellow"/>
        </w:rPr>
        <w:t>:</w:t>
      </w:r>
      <w:r>
        <w:rPr>
          <w:color w:val="002060"/>
          <w:highlight w:val="yellow"/>
        </w:rPr>
        <w:t xml:space="preserve"> A Zoom link will be provided closer to the meeting date.</w:t>
      </w:r>
    </w:p>
    <w:p w14:paraId="3A15F6C1" w14:textId="77777777" w:rsidR="00BF3EBC" w:rsidRDefault="00BF3EBC" w:rsidP="00BF3EBC">
      <w:pPr>
        <w:rPr>
          <w:rFonts w:ascii="Times New Roman" w:hAnsi="Times New Roman" w:cs="Times New Roman"/>
          <w:color w:val="44546A" w:themeColor="text2"/>
          <w:sz w:val="24"/>
          <w:szCs w:val="24"/>
        </w:rPr>
      </w:pPr>
      <w:r>
        <w:rPr>
          <w:rFonts w:ascii="Times New Roman" w:hAnsi="Times New Roman" w:cs="Times New Roman"/>
          <w:b/>
          <w:bCs/>
          <w:color w:val="44546A" w:themeColor="text2"/>
          <w:sz w:val="24"/>
          <w:szCs w:val="24"/>
        </w:rPr>
        <w:br/>
      </w:r>
      <w:r>
        <w:rPr>
          <w:rFonts w:ascii="Times New Roman" w:hAnsi="Times New Roman" w:cs="Times New Roman"/>
          <w:b/>
          <w:bCs/>
          <w:color w:val="44546A" w:themeColor="text2"/>
          <w:sz w:val="24"/>
          <w:szCs w:val="24"/>
        </w:rPr>
        <w:br/>
        <w:t>Welcome Remarks</w:t>
      </w:r>
      <w:r>
        <w:rPr>
          <w:rFonts w:ascii="Times New Roman" w:hAnsi="Times New Roman" w:cs="Times New Roman"/>
          <w:color w:val="44546A" w:themeColor="text2"/>
          <w:sz w:val="24"/>
          <w:szCs w:val="24"/>
        </w:rPr>
        <w:t xml:space="preserve"> (5 mins) (2:30-2:35 p.m.)</w:t>
      </w:r>
      <w:r>
        <w:rPr>
          <w:rFonts w:ascii="Times New Roman" w:hAnsi="Times New Roman" w:cs="Times New Roman"/>
          <w:color w:val="44546A" w:themeColor="text2"/>
          <w:sz w:val="24"/>
          <w:szCs w:val="24"/>
        </w:rPr>
        <w:br/>
      </w:r>
    </w:p>
    <w:p w14:paraId="77A828BF" w14:textId="77777777" w:rsidR="00BF3EBC" w:rsidRDefault="00BF3EBC" w:rsidP="000A0946">
      <w:pPr>
        <w:pStyle w:val="ListParagraph"/>
        <w:numPr>
          <w:ilvl w:val="0"/>
          <w:numId w:val="2"/>
        </w:numPr>
        <w:spacing w:line="256" w:lineRule="auto"/>
        <w:rPr>
          <w:rFonts w:ascii="Times New Roman" w:hAnsi="Times New Roman" w:cs="Times New Roman"/>
          <w:color w:val="44546A" w:themeColor="text2"/>
          <w:sz w:val="24"/>
          <w:szCs w:val="24"/>
        </w:rPr>
      </w:pPr>
      <w:r>
        <w:rPr>
          <w:rFonts w:ascii="Times New Roman" w:hAnsi="Times New Roman" w:cs="Times New Roman"/>
          <w:b/>
          <w:bCs/>
          <w:color w:val="44546A" w:themeColor="text2"/>
          <w:sz w:val="24"/>
          <w:szCs w:val="24"/>
        </w:rPr>
        <w:t>CLE Program.</w:t>
      </w:r>
      <w:r>
        <w:rPr>
          <w:rFonts w:ascii="Times New Roman" w:hAnsi="Times New Roman" w:cs="Times New Roman"/>
          <w:color w:val="44546A" w:themeColor="text2"/>
          <w:sz w:val="24"/>
          <w:szCs w:val="24"/>
        </w:rPr>
        <w:t xml:space="preserve">  We will have the following presentations:</w:t>
      </w:r>
    </w:p>
    <w:p w14:paraId="0930110A" w14:textId="77777777" w:rsidR="00BF3EBC" w:rsidRDefault="00BF3EBC" w:rsidP="00BF3EBC">
      <w:pPr>
        <w:pStyle w:val="ListParagraph"/>
        <w:rPr>
          <w:rFonts w:ascii="Times New Roman" w:hAnsi="Times New Roman" w:cs="Times New Roman"/>
          <w:color w:val="44546A" w:themeColor="text2"/>
          <w:sz w:val="24"/>
          <w:szCs w:val="24"/>
        </w:rPr>
      </w:pPr>
    </w:p>
    <w:p w14:paraId="140A649B" w14:textId="77777777" w:rsidR="00BF3EBC" w:rsidRDefault="00BF3EBC" w:rsidP="00BF3EBC">
      <w:pPr>
        <w:pStyle w:val="ListParagraph"/>
        <w:numPr>
          <w:ilvl w:val="1"/>
          <w:numId w:val="2"/>
        </w:numPr>
        <w:spacing w:line="256" w:lineRule="auto"/>
        <w:rPr>
          <w:rFonts w:ascii="Times New Roman" w:eastAsia="Times New Roman" w:hAnsi="Times New Roman" w:cs="Times New Roman"/>
          <w:color w:val="44546A" w:themeColor="text2"/>
          <w:sz w:val="24"/>
          <w:szCs w:val="24"/>
        </w:rPr>
      </w:pPr>
      <w:r>
        <w:rPr>
          <w:rFonts w:ascii="Times New Roman" w:hAnsi="Times New Roman" w:cs="Times New Roman"/>
          <w:color w:val="44546A" w:themeColor="text2"/>
          <w:sz w:val="24"/>
          <w:szCs w:val="24"/>
        </w:rPr>
        <w:t>The Right to a Jury Trial in Cases under the Oil Pollution Act of 1990 (LCDR Benjamin Robinson, U.S. Coast Guard) (20 mins) (2:35-2:55)</w:t>
      </w:r>
      <w:r>
        <w:rPr>
          <w:rFonts w:ascii="Times New Roman" w:hAnsi="Times New Roman" w:cs="Times New Roman"/>
          <w:color w:val="44546A" w:themeColor="text2"/>
          <w:sz w:val="24"/>
          <w:szCs w:val="24"/>
        </w:rPr>
        <w:br/>
      </w:r>
    </w:p>
    <w:p w14:paraId="6DC25C15" w14:textId="77777777" w:rsidR="00BF3EBC" w:rsidRDefault="00BF3EBC" w:rsidP="00BF3EBC">
      <w:pPr>
        <w:pStyle w:val="ListParagraph"/>
        <w:numPr>
          <w:ilvl w:val="1"/>
          <w:numId w:val="2"/>
        </w:numPr>
        <w:spacing w:line="256" w:lineRule="auto"/>
        <w:rPr>
          <w:rFonts w:ascii="Times New Roman" w:eastAsia="Times New Roman" w:hAnsi="Times New Roman" w:cs="Times New Roman"/>
          <w:color w:val="44546A" w:themeColor="text2"/>
          <w:sz w:val="24"/>
          <w:szCs w:val="24"/>
        </w:rPr>
      </w:pPr>
      <w:r>
        <w:rPr>
          <w:rFonts w:ascii="Times New Roman" w:eastAsia="Times New Roman" w:hAnsi="Times New Roman" w:cs="Times New Roman"/>
          <w:color w:val="44546A" w:themeColor="text2"/>
          <w:sz w:val="24"/>
          <w:szCs w:val="24"/>
        </w:rPr>
        <w:t>The Right to a Jury Trial (DOHSA and Rule 9(h) Considerations) (Steven F. Friedell,</w:t>
      </w:r>
      <w:r>
        <w:rPr>
          <w:rFonts w:ascii="Times New Roman" w:hAnsi="Times New Roman" w:cs="Times New Roman"/>
          <w:color w:val="44546A" w:themeColor="text2"/>
          <w:sz w:val="24"/>
        </w:rPr>
        <w:t xml:space="preserve"> Rutgers University Law School) (2:55-3:15)</w:t>
      </w:r>
      <w:r>
        <w:rPr>
          <w:rFonts w:ascii="Times New Roman" w:hAnsi="Times New Roman" w:cs="Times New Roman"/>
          <w:color w:val="44546A" w:themeColor="text2"/>
          <w:sz w:val="24"/>
        </w:rPr>
        <w:br/>
      </w:r>
    </w:p>
    <w:p w14:paraId="5453804C" w14:textId="77777777" w:rsidR="00BF3EBC" w:rsidRDefault="00BF3EBC" w:rsidP="00BF3EBC">
      <w:pPr>
        <w:pStyle w:val="ListParagraph"/>
        <w:numPr>
          <w:ilvl w:val="1"/>
          <w:numId w:val="2"/>
        </w:numPr>
        <w:spacing w:line="256" w:lineRule="auto"/>
        <w:rPr>
          <w:rFonts w:ascii="Times New Roman" w:eastAsia="Times New Roman" w:hAnsi="Times New Roman" w:cs="Times New Roman"/>
          <w:color w:val="44546A" w:themeColor="text2"/>
          <w:sz w:val="24"/>
          <w:szCs w:val="24"/>
        </w:rPr>
      </w:pPr>
      <w:r>
        <w:rPr>
          <w:rFonts w:ascii="Times New Roman" w:eastAsia="Times New Roman" w:hAnsi="Times New Roman" w:cs="Times New Roman"/>
          <w:i/>
          <w:iCs/>
          <w:color w:val="44546A" w:themeColor="text2"/>
          <w:sz w:val="24"/>
          <w:szCs w:val="24"/>
        </w:rPr>
        <w:t>Great Lakes Insurance SE v. Raiders Retreat Realty Co.</w:t>
      </w:r>
      <w:r>
        <w:rPr>
          <w:rFonts w:ascii="Times New Roman" w:eastAsia="Times New Roman" w:hAnsi="Times New Roman" w:cs="Times New Roman"/>
          <w:color w:val="44546A" w:themeColor="text2"/>
          <w:sz w:val="24"/>
          <w:szCs w:val="24"/>
        </w:rPr>
        <w:t xml:space="preserve">: Exulting Uniformity and Disparaging </w:t>
      </w:r>
      <w:r>
        <w:rPr>
          <w:rFonts w:ascii="Times New Roman" w:eastAsia="Times New Roman" w:hAnsi="Times New Roman" w:cs="Times New Roman"/>
          <w:i/>
          <w:iCs/>
          <w:color w:val="44546A" w:themeColor="text2"/>
          <w:sz w:val="24"/>
          <w:szCs w:val="24"/>
        </w:rPr>
        <w:t>Wilburn Boat</w:t>
      </w:r>
      <w:r>
        <w:rPr>
          <w:rFonts w:ascii="Times New Roman" w:eastAsia="Times New Roman" w:hAnsi="Times New Roman" w:cs="Times New Roman"/>
          <w:color w:val="44546A" w:themeColor="text2"/>
          <w:sz w:val="24"/>
          <w:szCs w:val="24"/>
        </w:rPr>
        <w:t xml:space="preserve"> (Professor Michael </w:t>
      </w:r>
      <w:proofErr w:type="spellStart"/>
      <w:r>
        <w:rPr>
          <w:rFonts w:ascii="Times New Roman" w:eastAsia="Times New Roman" w:hAnsi="Times New Roman" w:cs="Times New Roman"/>
          <w:color w:val="44546A" w:themeColor="text2"/>
          <w:sz w:val="24"/>
          <w:szCs w:val="24"/>
        </w:rPr>
        <w:t>Sturley</w:t>
      </w:r>
      <w:proofErr w:type="spellEnd"/>
      <w:r>
        <w:rPr>
          <w:rFonts w:ascii="Times New Roman" w:eastAsia="Times New Roman" w:hAnsi="Times New Roman" w:cs="Times New Roman"/>
          <w:color w:val="44546A" w:themeColor="text2"/>
          <w:sz w:val="24"/>
          <w:szCs w:val="24"/>
        </w:rPr>
        <w:t xml:space="preserve"> – University of Texas Law School) (20 mins) (3:15-3:35)</w:t>
      </w:r>
      <w:r>
        <w:rPr>
          <w:rFonts w:ascii="Times New Roman" w:eastAsia="Times New Roman" w:hAnsi="Times New Roman" w:cs="Times New Roman"/>
          <w:color w:val="44546A" w:themeColor="text2"/>
          <w:sz w:val="24"/>
          <w:szCs w:val="24"/>
        </w:rPr>
        <w:br/>
      </w:r>
    </w:p>
    <w:p w14:paraId="226DC864" w14:textId="77777777" w:rsidR="00BF3EBC" w:rsidRDefault="00BF3EBC" w:rsidP="00BF3EBC">
      <w:pPr>
        <w:pStyle w:val="ListParagraph"/>
        <w:numPr>
          <w:ilvl w:val="0"/>
          <w:numId w:val="2"/>
        </w:numPr>
        <w:spacing w:line="256" w:lineRule="auto"/>
        <w:rPr>
          <w:rFonts w:ascii="Times New Roman" w:hAnsi="Times New Roman" w:cs="Times New Roman"/>
          <w:color w:val="44546A" w:themeColor="text2"/>
          <w:sz w:val="24"/>
          <w:szCs w:val="24"/>
        </w:rPr>
      </w:pPr>
      <w:r>
        <w:rPr>
          <w:rFonts w:ascii="Times New Roman" w:hAnsi="Times New Roman" w:cs="Times New Roman"/>
          <w:b/>
          <w:bCs/>
          <w:color w:val="44546A" w:themeColor="text2"/>
          <w:sz w:val="24"/>
          <w:szCs w:val="24"/>
        </w:rPr>
        <w:t>New Business and Open Discussion</w:t>
      </w:r>
      <w:r>
        <w:rPr>
          <w:rFonts w:ascii="Times New Roman" w:hAnsi="Times New Roman" w:cs="Times New Roman"/>
          <w:color w:val="44546A" w:themeColor="text2"/>
          <w:sz w:val="24"/>
          <w:szCs w:val="24"/>
        </w:rPr>
        <w:t xml:space="preserve"> (5 mins) (3:35-3:40)</w:t>
      </w:r>
    </w:p>
    <w:p w14:paraId="68AD6391" w14:textId="77777777" w:rsidR="00BF3EBC" w:rsidRDefault="00BF3EBC" w:rsidP="00BF3EBC">
      <w:pPr>
        <w:rPr>
          <w:rFonts w:ascii="Times New Roman" w:hAnsi="Times New Roman" w:cs="Times New Roman"/>
          <w:color w:val="44546A" w:themeColor="text2"/>
          <w:sz w:val="24"/>
          <w:szCs w:val="24"/>
        </w:rPr>
      </w:pPr>
    </w:p>
    <w:p w14:paraId="4092042A" w14:textId="623ADB5F" w:rsidR="00113150" w:rsidRPr="006E7769" w:rsidRDefault="00BF3EBC" w:rsidP="00A16F26">
      <w:pPr>
        <w:rPr>
          <w:rFonts w:ascii="Times New Roman" w:eastAsia="Times New Roman" w:hAnsi="Times New Roman" w:cs="Times New Roman"/>
          <w:color w:val="000000"/>
        </w:rPr>
      </w:pPr>
      <w:r>
        <w:rPr>
          <w:rFonts w:ascii="Times New Roman" w:eastAsia="Times New Roman" w:hAnsi="Times New Roman" w:cs="Times New Roman"/>
          <w:i/>
          <w:iCs/>
          <w:color w:val="44546A" w:themeColor="text2"/>
        </w:rPr>
        <w:t>The Maritime Law Association of the United States (“MLA”) is an accredited New York provider of continuing legal education (“CLE”). The program will be appropriate for both experienced and newly admitted attorneys (Non-Transitional and Transitional). 1.0 New York CLE credit in Areas of Professional Practice will be offered.</w:t>
      </w:r>
      <w:r>
        <w:rPr>
          <w:rFonts w:ascii="Times New Roman" w:eastAsia="Times New Roman" w:hAnsi="Times New Roman" w:cs="Times New Roman"/>
          <w:color w:val="44546A" w:themeColor="text2"/>
        </w:rPr>
        <w:t xml:space="preserve"> </w:t>
      </w:r>
      <w:r>
        <w:rPr>
          <w:rFonts w:ascii="Times New Roman" w:eastAsia="Times New Roman" w:hAnsi="Times New Roman" w:cs="Times New Roman"/>
          <w:i/>
          <w:iCs/>
          <w:color w:val="44546A" w:themeColor="text2"/>
          <w:shd w:val="clear" w:color="auto" w:fill="FFFFFF"/>
        </w:rPr>
        <w:t xml:space="preserve">This program has been approved by the Pennsylvania Continuing Legal Education Board for 1.0 hours of substantive law, practice and procedure CLE credit and 0.0 hours of ethics, </w:t>
      </w:r>
      <w:proofErr w:type="gramStart"/>
      <w:r>
        <w:rPr>
          <w:rFonts w:ascii="Times New Roman" w:eastAsia="Times New Roman" w:hAnsi="Times New Roman" w:cs="Times New Roman"/>
          <w:i/>
          <w:iCs/>
          <w:color w:val="44546A" w:themeColor="text2"/>
          <w:shd w:val="clear" w:color="auto" w:fill="FFFFFF"/>
        </w:rPr>
        <w:t>professionalism</w:t>
      </w:r>
      <w:proofErr w:type="gramEnd"/>
      <w:r>
        <w:rPr>
          <w:rFonts w:ascii="Times New Roman" w:eastAsia="Times New Roman" w:hAnsi="Times New Roman" w:cs="Times New Roman"/>
          <w:i/>
          <w:iCs/>
          <w:color w:val="44546A" w:themeColor="text2"/>
          <w:shd w:val="clear" w:color="auto" w:fill="FFFFFF"/>
        </w:rPr>
        <w:t xml:space="preserve"> or substance abuse CLE credit. </w:t>
      </w:r>
      <w:r w:rsidR="00D65597" w:rsidRPr="00BF6125">
        <w:rPr>
          <w:rFonts w:ascii="Times New Roman" w:eastAsia="Times New Roman" w:hAnsi="Times New Roman" w:cs="Times New Roman"/>
          <w:i/>
          <w:iCs/>
          <w:color w:val="000000"/>
          <w:shd w:val="clear" w:color="auto" w:fill="FFFFFF"/>
        </w:rPr>
        <w:t xml:space="preserve"> </w:t>
      </w:r>
    </w:p>
    <w:sectPr w:rsidR="00113150" w:rsidRPr="006E7769" w:rsidSect="00C73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2F0A" w14:textId="77777777" w:rsidR="00CD601D" w:rsidRDefault="00CD601D" w:rsidP="00502119">
      <w:pPr>
        <w:spacing w:after="0" w:line="240" w:lineRule="auto"/>
      </w:pPr>
      <w:r>
        <w:separator/>
      </w:r>
    </w:p>
  </w:endnote>
  <w:endnote w:type="continuationSeparator" w:id="0">
    <w:p w14:paraId="286E9013" w14:textId="77777777" w:rsidR="00CD601D" w:rsidRDefault="00CD601D" w:rsidP="0050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40C8" w14:textId="77777777" w:rsidR="00CD601D" w:rsidRDefault="00CD601D" w:rsidP="00502119">
      <w:pPr>
        <w:spacing w:after="0" w:line="240" w:lineRule="auto"/>
      </w:pPr>
      <w:r>
        <w:separator/>
      </w:r>
    </w:p>
  </w:footnote>
  <w:footnote w:type="continuationSeparator" w:id="0">
    <w:p w14:paraId="1779D923" w14:textId="77777777" w:rsidR="00CD601D" w:rsidRDefault="00CD601D" w:rsidP="0050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268FB"/>
    <w:multiLevelType w:val="hybridMultilevel"/>
    <w:tmpl w:val="4B02D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E1565A"/>
    <w:multiLevelType w:val="hybridMultilevel"/>
    <w:tmpl w:val="6540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005174">
    <w:abstractNumId w:val="1"/>
  </w:num>
  <w:num w:numId="2" w16cid:durableId="2122649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19"/>
    <w:rsid w:val="000A0946"/>
    <w:rsid w:val="00113150"/>
    <w:rsid w:val="001655D7"/>
    <w:rsid w:val="00186055"/>
    <w:rsid w:val="0019350A"/>
    <w:rsid w:val="00254BE4"/>
    <w:rsid w:val="002A289C"/>
    <w:rsid w:val="0037098E"/>
    <w:rsid w:val="00375531"/>
    <w:rsid w:val="00382E38"/>
    <w:rsid w:val="003A2EB5"/>
    <w:rsid w:val="003C71F7"/>
    <w:rsid w:val="003D37A8"/>
    <w:rsid w:val="0046469A"/>
    <w:rsid w:val="00475058"/>
    <w:rsid w:val="004B1D3E"/>
    <w:rsid w:val="004D0915"/>
    <w:rsid w:val="004F0C9F"/>
    <w:rsid w:val="00502119"/>
    <w:rsid w:val="005223D3"/>
    <w:rsid w:val="005251CC"/>
    <w:rsid w:val="005413DF"/>
    <w:rsid w:val="005D21C6"/>
    <w:rsid w:val="00641EBC"/>
    <w:rsid w:val="006E7769"/>
    <w:rsid w:val="00752E75"/>
    <w:rsid w:val="00754113"/>
    <w:rsid w:val="0079067D"/>
    <w:rsid w:val="007A7D58"/>
    <w:rsid w:val="008671D6"/>
    <w:rsid w:val="008726F3"/>
    <w:rsid w:val="008912E1"/>
    <w:rsid w:val="008F3D86"/>
    <w:rsid w:val="00970AC8"/>
    <w:rsid w:val="00A15C19"/>
    <w:rsid w:val="00A16F26"/>
    <w:rsid w:val="00A41803"/>
    <w:rsid w:val="00A700EF"/>
    <w:rsid w:val="00BB0FF7"/>
    <w:rsid w:val="00BC6740"/>
    <w:rsid w:val="00BF3EBC"/>
    <w:rsid w:val="00C143E0"/>
    <w:rsid w:val="00C26314"/>
    <w:rsid w:val="00C73D05"/>
    <w:rsid w:val="00CD601D"/>
    <w:rsid w:val="00D527B1"/>
    <w:rsid w:val="00D65597"/>
    <w:rsid w:val="00D91C65"/>
    <w:rsid w:val="00FA4275"/>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86F"/>
  <w15:docId w15:val="{A6856028-666E-4B2F-A665-EC191112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19"/>
    <w:pPr>
      <w:ind w:left="720"/>
      <w:contextualSpacing/>
    </w:pPr>
  </w:style>
  <w:style w:type="paragraph" w:styleId="Header">
    <w:name w:val="header"/>
    <w:basedOn w:val="Normal"/>
    <w:link w:val="HeaderChar"/>
    <w:uiPriority w:val="99"/>
    <w:unhideWhenUsed/>
    <w:rsid w:val="0050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19"/>
  </w:style>
  <w:style w:type="paragraph" w:styleId="Footer">
    <w:name w:val="footer"/>
    <w:basedOn w:val="Normal"/>
    <w:link w:val="FooterChar"/>
    <w:uiPriority w:val="99"/>
    <w:unhideWhenUsed/>
    <w:rsid w:val="0050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19"/>
  </w:style>
  <w:style w:type="paragraph" w:styleId="BalloonText">
    <w:name w:val="Balloon Text"/>
    <w:basedOn w:val="Normal"/>
    <w:link w:val="BalloonTextChar"/>
    <w:uiPriority w:val="99"/>
    <w:semiHidden/>
    <w:unhideWhenUsed/>
    <w:rsid w:val="0087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F3"/>
    <w:rPr>
      <w:rFonts w:ascii="Tahoma" w:hAnsi="Tahoma" w:cs="Tahoma"/>
      <w:sz w:val="16"/>
      <w:szCs w:val="16"/>
    </w:rPr>
  </w:style>
  <w:style w:type="character" w:styleId="Hyperlink">
    <w:name w:val="Hyperlink"/>
    <w:basedOn w:val="DefaultParagraphFont"/>
    <w:uiPriority w:val="99"/>
    <w:unhideWhenUsed/>
    <w:rsid w:val="008726F3"/>
    <w:rPr>
      <w:color w:val="0563C1" w:themeColor="hyperlink"/>
      <w:u w:val="single"/>
    </w:rPr>
  </w:style>
  <w:style w:type="character" w:styleId="UnresolvedMention">
    <w:name w:val="Unresolved Mention"/>
    <w:basedOn w:val="DefaultParagraphFont"/>
    <w:uiPriority w:val="99"/>
    <w:semiHidden/>
    <w:unhideWhenUsed/>
    <w:rsid w:val="005D21C6"/>
    <w:rPr>
      <w:color w:val="605E5C"/>
      <w:shd w:val="clear" w:color="auto" w:fill="E1DFDD"/>
    </w:rPr>
  </w:style>
  <w:style w:type="paragraph" w:styleId="NormalWeb">
    <w:name w:val="Normal (Web)"/>
    <w:basedOn w:val="Normal"/>
    <w:uiPriority w:val="99"/>
    <w:unhideWhenUsed/>
    <w:rsid w:val="00FA4275"/>
    <w:pPr>
      <w:spacing w:before="100" w:beforeAutospacing="1" w:after="100" w:afterAutospacing="1" w:line="240" w:lineRule="auto"/>
    </w:pPr>
    <w:rPr>
      <w:rFonts w:ascii="Calibri" w:hAnsi="Calibri" w:cs="Calibri"/>
    </w:rPr>
  </w:style>
  <w:style w:type="paragraph" w:styleId="Revision">
    <w:name w:val="Revision"/>
    <w:hidden/>
    <w:uiPriority w:val="99"/>
    <w:semiHidden/>
    <w:rsid w:val="00BC6740"/>
    <w:pPr>
      <w:spacing w:after="0" w:line="240" w:lineRule="auto"/>
    </w:pPr>
  </w:style>
  <w:style w:type="paragraph" w:customStyle="1" w:styleId="Default">
    <w:name w:val="Default"/>
    <w:rsid w:val="00BF3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765">
      <w:bodyDiv w:val="1"/>
      <w:marLeft w:val="0"/>
      <w:marRight w:val="0"/>
      <w:marTop w:val="0"/>
      <w:marBottom w:val="0"/>
      <w:divBdr>
        <w:top w:val="none" w:sz="0" w:space="0" w:color="auto"/>
        <w:left w:val="none" w:sz="0" w:space="0" w:color="auto"/>
        <w:bottom w:val="none" w:sz="0" w:space="0" w:color="auto"/>
        <w:right w:val="none" w:sz="0" w:space="0" w:color="auto"/>
      </w:divBdr>
    </w:div>
    <w:div w:id="918754617">
      <w:bodyDiv w:val="1"/>
      <w:marLeft w:val="0"/>
      <w:marRight w:val="0"/>
      <w:marTop w:val="0"/>
      <w:marBottom w:val="0"/>
      <w:divBdr>
        <w:top w:val="none" w:sz="0" w:space="0" w:color="auto"/>
        <w:left w:val="none" w:sz="0" w:space="0" w:color="auto"/>
        <w:bottom w:val="none" w:sz="0" w:space="0" w:color="auto"/>
        <w:right w:val="none" w:sz="0" w:space="0" w:color="auto"/>
      </w:divBdr>
    </w:div>
    <w:div w:id="1050883028">
      <w:bodyDiv w:val="1"/>
      <w:marLeft w:val="0"/>
      <w:marRight w:val="0"/>
      <w:marTop w:val="0"/>
      <w:marBottom w:val="0"/>
      <w:divBdr>
        <w:top w:val="none" w:sz="0" w:space="0" w:color="auto"/>
        <w:left w:val="none" w:sz="0" w:space="0" w:color="auto"/>
        <w:bottom w:val="none" w:sz="0" w:space="0" w:color="auto"/>
        <w:right w:val="none" w:sz="0" w:space="0" w:color="auto"/>
      </w:divBdr>
    </w:div>
    <w:div w:id="1117602748">
      <w:bodyDiv w:val="1"/>
      <w:marLeft w:val="0"/>
      <w:marRight w:val="0"/>
      <w:marTop w:val="0"/>
      <w:marBottom w:val="0"/>
      <w:divBdr>
        <w:top w:val="none" w:sz="0" w:space="0" w:color="auto"/>
        <w:left w:val="none" w:sz="0" w:space="0" w:color="auto"/>
        <w:bottom w:val="none" w:sz="0" w:space="0" w:color="auto"/>
        <w:right w:val="none" w:sz="0" w:space="0" w:color="auto"/>
      </w:divBdr>
    </w:div>
    <w:div w:id="1793160906">
      <w:bodyDiv w:val="1"/>
      <w:marLeft w:val="0"/>
      <w:marRight w:val="0"/>
      <w:marTop w:val="0"/>
      <w:marBottom w:val="0"/>
      <w:divBdr>
        <w:top w:val="none" w:sz="0" w:space="0" w:color="auto"/>
        <w:left w:val="none" w:sz="0" w:space="0" w:color="auto"/>
        <w:bottom w:val="none" w:sz="0" w:space="0" w:color="auto"/>
        <w:right w:val="none" w:sz="0" w:space="0" w:color="auto"/>
      </w:divBdr>
    </w:div>
    <w:div w:id="1869483924">
      <w:bodyDiv w:val="1"/>
      <w:marLeft w:val="0"/>
      <w:marRight w:val="0"/>
      <w:marTop w:val="0"/>
      <w:marBottom w:val="0"/>
      <w:divBdr>
        <w:top w:val="none" w:sz="0" w:space="0" w:color="auto"/>
        <w:left w:val="none" w:sz="0" w:space="0" w:color="auto"/>
        <w:bottom w:val="none" w:sz="0" w:space="0" w:color="auto"/>
        <w:right w:val="none" w:sz="0" w:space="0" w:color="auto"/>
      </w:divBdr>
    </w:div>
    <w:div w:id="1930312473">
      <w:bodyDiv w:val="1"/>
      <w:marLeft w:val="0"/>
      <w:marRight w:val="0"/>
      <w:marTop w:val="0"/>
      <w:marBottom w:val="0"/>
      <w:divBdr>
        <w:top w:val="none" w:sz="0" w:space="0" w:color="auto"/>
        <w:left w:val="none" w:sz="0" w:space="0" w:color="auto"/>
        <w:bottom w:val="none" w:sz="0" w:space="0" w:color="auto"/>
        <w:right w:val="none" w:sz="0" w:space="0" w:color="auto"/>
      </w:divBdr>
    </w:div>
    <w:div w:id="20370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PresentationFormat>15|.DOCX</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Eric</dc:creator>
  <cp:lastModifiedBy>Briggs, Salomee G LCDR USCG COMDT (USA)</cp:lastModifiedBy>
  <cp:revision>7</cp:revision>
  <cp:lastPrinted>2022-05-03T16:11:00Z</cp:lastPrinted>
  <dcterms:created xsi:type="dcterms:W3CDTF">2024-03-15T13:05:00Z</dcterms:created>
  <dcterms:modified xsi:type="dcterms:W3CDTF">2024-03-15T20:11:00Z</dcterms:modified>
</cp:coreProperties>
</file>