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220" w:rsidRPr="00E21220" w:rsidRDefault="00E21220" w:rsidP="00E21220">
      <w:pPr>
        <w:spacing w:before="100" w:beforeAutospacing="1" w:after="100" w:afterAutospacing="1" w:line="338" w:lineRule="atLeast"/>
        <w:jc w:val="center"/>
        <w:outlineLvl w:val="0"/>
        <w:rPr>
          <w:rFonts w:eastAsia="Times New Roman" w:cs="Times New Roman"/>
          <w:b/>
          <w:bCs/>
          <w:kern w:val="36"/>
          <w:sz w:val="16"/>
          <w:szCs w:val="16"/>
        </w:rPr>
      </w:pPr>
      <w:r w:rsidRPr="00E21220">
        <w:rPr>
          <w:rFonts w:eastAsia="Times New Roman" w:cs="Times New Roman"/>
          <w:b/>
          <w:bCs/>
          <w:kern w:val="36"/>
          <w:sz w:val="16"/>
        </w:rPr>
        <w:t>David J. Farrell, Jr.</w:t>
      </w:r>
    </w:p>
    <w:p w:rsidR="00E21220" w:rsidRPr="00E21220" w:rsidRDefault="00E21220" w:rsidP="00E21220">
      <w:pPr>
        <w:spacing w:before="100" w:beforeAutospacing="1" w:after="100" w:afterAutospacing="1"/>
        <w:rPr>
          <w:rFonts w:eastAsia="Times New Roman" w:cs="Times New Roman"/>
          <w:sz w:val="10"/>
          <w:szCs w:val="10"/>
        </w:rPr>
      </w:pPr>
      <w:r>
        <w:rPr>
          <w:rFonts w:eastAsia="Times New Roman" w:cs="Times New Roman"/>
          <w:sz w:val="10"/>
        </w:rPr>
        <w:t>A</w:t>
      </w:r>
      <w:r w:rsidRPr="00E21220">
        <w:rPr>
          <w:rFonts w:eastAsia="Times New Roman" w:cs="Times New Roman"/>
          <w:sz w:val="10"/>
        </w:rPr>
        <w:t>n admiralty lawyer since 1984, Attorney Dave Farrell's passion for maritime commerce began in high school when he worked at a Cape Cod boatyard. He ran a tour boat during college summers and later fished commercially up to 100 miles offshore in 30-36 foot vessels. He also has time at sea on tugs, ferries, container ships, and oil tankers.</w:t>
      </w:r>
    </w:p>
    <w:p w:rsidR="00E21220" w:rsidRPr="00E21220" w:rsidRDefault="00E21220" w:rsidP="00E21220">
      <w:pPr>
        <w:spacing w:before="100" w:beforeAutospacing="1" w:after="100" w:afterAutospacing="1"/>
        <w:rPr>
          <w:rFonts w:eastAsia="Times New Roman" w:cs="Times New Roman"/>
          <w:sz w:val="10"/>
          <w:szCs w:val="10"/>
        </w:rPr>
      </w:pPr>
      <w:r w:rsidRPr="00E21220">
        <w:rPr>
          <w:rFonts w:eastAsia="Times New Roman" w:cs="Times New Roman"/>
          <w:sz w:val="10"/>
        </w:rPr>
        <w:t>Having personally evaded multiple maritime casualties, Attorney Farrell’s practice primarily involves litigating them, typically for the defense on appointment by marine insurers, international and domestic. Because in our business evidence can disappear with the ebbing tide, our office is available 24/7 to attend casualty scenes, appoint marine surveyors and forensic experts, and deal with government authorities so cases can be intelligently managed with positive results for our client from the outset.</w:t>
      </w:r>
    </w:p>
    <w:p w:rsidR="00E21220" w:rsidRPr="00E21220" w:rsidRDefault="00E21220" w:rsidP="00E21220">
      <w:pPr>
        <w:spacing w:before="100" w:beforeAutospacing="1" w:after="100" w:afterAutospacing="1"/>
        <w:rPr>
          <w:rFonts w:eastAsia="Times New Roman" w:cs="Times New Roman"/>
          <w:sz w:val="10"/>
          <w:szCs w:val="10"/>
        </w:rPr>
      </w:pPr>
      <w:r w:rsidRPr="00E21220">
        <w:rPr>
          <w:rFonts w:eastAsia="Times New Roman" w:cs="Times New Roman"/>
          <w:sz w:val="10"/>
        </w:rPr>
        <w:t>With trial and appellate court victories from Alaska to New England, Attorney Farrell is a frequent speaker and author on maritime law and public policy. He is proud to serve as President of </w:t>
      </w:r>
      <w:hyperlink r:id="rId5" w:tgtFrame="_blank" w:history="1">
        <w:proofErr w:type="gramStart"/>
        <w:r w:rsidRPr="00E21220">
          <w:rPr>
            <w:rFonts w:eastAsia="Times New Roman" w:cs="Times New Roman"/>
            <w:b/>
            <w:bCs/>
            <w:color w:val="0000FF"/>
            <w:sz w:val="10"/>
            <w:u w:val="single"/>
          </w:rPr>
          <w:t>The</w:t>
        </w:r>
        <w:proofErr w:type="gramEnd"/>
        <w:r w:rsidRPr="00E21220">
          <w:rPr>
            <w:rFonts w:eastAsia="Times New Roman" w:cs="Times New Roman"/>
            <w:b/>
            <w:bCs/>
            <w:color w:val="0000FF"/>
            <w:sz w:val="10"/>
            <w:u w:val="single"/>
          </w:rPr>
          <w:t xml:space="preserve"> Maritime Law Association of the United States.</w:t>
        </w:r>
      </w:hyperlink>
    </w:p>
    <w:p w:rsidR="00E21220" w:rsidRPr="00E21220" w:rsidRDefault="00E21220" w:rsidP="00E21220">
      <w:pPr>
        <w:spacing w:before="100" w:beforeAutospacing="1" w:after="100" w:afterAutospacing="1"/>
        <w:rPr>
          <w:rFonts w:eastAsia="Times New Roman" w:cs="Times New Roman"/>
          <w:sz w:val="10"/>
          <w:szCs w:val="10"/>
        </w:rPr>
      </w:pPr>
      <w:r w:rsidRPr="00E21220">
        <w:rPr>
          <w:rFonts w:eastAsia="Times New Roman" w:cs="Times New Roman"/>
          <w:b/>
          <w:bCs/>
          <w:sz w:val="10"/>
        </w:rPr>
        <w:t>​</w:t>
      </w:r>
      <w:r w:rsidRPr="00E21220">
        <w:rPr>
          <w:rFonts w:eastAsia="Times New Roman" w:cs="Times New Roman"/>
          <w:sz w:val="10"/>
        </w:rPr>
        <w:t xml:space="preserve">A </w:t>
      </w:r>
      <w:proofErr w:type="spellStart"/>
      <w:r w:rsidRPr="00E21220">
        <w:rPr>
          <w:rFonts w:eastAsia="Times New Roman" w:cs="Times New Roman"/>
          <w:sz w:val="10"/>
        </w:rPr>
        <w:t>Titulary</w:t>
      </w:r>
      <w:proofErr w:type="spellEnd"/>
      <w:r w:rsidRPr="00E21220">
        <w:rPr>
          <w:rFonts w:eastAsia="Times New Roman" w:cs="Times New Roman"/>
          <w:sz w:val="10"/>
        </w:rPr>
        <w:t xml:space="preserve"> Member of the </w:t>
      </w:r>
      <w:hyperlink r:id="rId6" w:tgtFrame="_blank" w:history="1">
        <w:proofErr w:type="spellStart"/>
        <w:r w:rsidRPr="00E21220">
          <w:rPr>
            <w:rFonts w:eastAsia="Times New Roman" w:cs="Times New Roman"/>
            <w:color w:val="0000FF"/>
            <w:sz w:val="10"/>
            <w:u w:val="single"/>
          </w:rPr>
          <w:t>Comité</w:t>
        </w:r>
        <w:proofErr w:type="spellEnd"/>
        <w:r w:rsidRPr="00E21220">
          <w:rPr>
            <w:rFonts w:eastAsia="Times New Roman" w:cs="Times New Roman"/>
            <w:color w:val="0000FF"/>
            <w:sz w:val="10"/>
            <w:u w:val="single"/>
          </w:rPr>
          <w:t xml:space="preserve"> Maritime International</w:t>
        </w:r>
      </w:hyperlink>
      <w:r w:rsidRPr="00E21220">
        <w:rPr>
          <w:rFonts w:eastAsia="Times New Roman" w:cs="Times New Roman"/>
          <w:sz w:val="10"/>
        </w:rPr>
        <w:t xml:space="preserve">, Attorney Farrell also serves as an advisor to the U.S. Delegation to the </w:t>
      </w:r>
      <w:hyperlink r:id="rId7" w:tgtFrame="_blank" w:history="1">
        <w:r w:rsidRPr="00E21220">
          <w:rPr>
            <w:rFonts w:eastAsia="Times New Roman" w:cs="Times New Roman"/>
            <w:color w:val="0000FF"/>
            <w:sz w:val="10"/>
            <w:u w:val="single"/>
          </w:rPr>
          <w:t>U.N. International Maritime Organization</w:t>
        </w:r>
      </w:hyperlink>
      <w:r w:rsidRPr="00E21220">
        <w:rPr>
          <w:rFonts w:eastAsia="Times New Roman" w:cs="Times New Roman"/>
          <w:sz w:val="10"/>
        </w:rPr>
        <w:t>.  </w:t>
      </w:r>
    </w:p>
    <w:p w:rsidR="00E21220" w:rsidRPr="00E21220" w:rsidRDefault="00E21220" w:rsidP="00E21220">
      <w:pPr>
        <w:spacing w:before="100" w:beforeAutospacing="1" w:after="100" w:afterAutospacing="1"/>
        <w:rPr>
          <w:rFonts w:eastAsia="Times New Roman" w:cs="Times New Roman"/>
          <w:sz w:val="10"/>
          <w:szCs w:val="10"/>
        </w:rPr>
      </w:pPr>
      <w:r w:rsidRPr="00E21220">
        <w:rPr>
          <w:rFonts w:eastAsia="Times New Roman" w:cs="Times New Roman"/>
          <w:b/>
          <w:bCs/>
          <w:sz w:val="10"/>
        </w:rPr>
        <w:t>Admitted​</w:t>
      </w:r>
    </w:p>
    <w:p w:rsidR="00E21220" w:rsidRPr="00E21220" w:rsidRDefault="00E21220" w:rsidP="00E21220">
      <w:pPr>
        <w:numPr>
          <w:ilvl w:val="0"/>
          <w:numId w:val="2"/>
        </w:numPr>
        <w:spacing w:before="100" w:beforeAutospacing="1" w:after="100" w:afterAutospacing="1"/>
        <w:rPr>
          <w:rFonts w:eastAsia="Times New Roman" w:cs="Times New Roman"/>
          <w:sz w:val="10"/>
          <w:szCs w:val="10"/>
        </w:rPr>
      </w:pPr>
      <w:r w:rsidRPr="00E21220">
        <w:rPr>
          <w:rFonts w:eastAsia="Times New Roman" w:cs="Times New Roman"/>
          <w:sz w:val="10"/>
        </w:rPr>
        <w:t>2001, United States Supreme Court</w:t>
      </w:r>
    </w:p>
    <w:p w:rsidR="00E21220" w:rsidRPr="00E21220" w:rsidRDefault="00E21220" w:rsidP="00E21220">
      <w:pPr>
        <w:numPr>
          <w:ilvl w:val="0"/>
          <w:numId w:val="2"/>
        </w:numPr>
        <w:spacing w:before="100" w:beforeAutospacing="1" w:after="100" w:afterAutospacing="1"/>
        <w:rPr>
          <w:rFonts w:eastAsia="Times New Roman" w:cs="Times New Roman"/>
          <w:sz w:val="10"/>
          <w:szCs w:val="10"/>
        </w:rPr>
      </w:pPr>
      <w:r w:rsidRPr="00E21220">
        <w:rPr>
          <w:rFonts w:eastAsia="Times New Roman" w:cs="Times New Roman"/>
          <w:sz w:val="10"/>
        </w:rPr>
        <w:t>1992, U.S. District Court, District of Massachusetts and U.S. Court of Appeals, First Circuit</w:t>
      </w:r>
    </w:p>
    <w:p w:rsidR="00E21220" w:rsidRPr="00E21220" w:rsidRDefault="00E21220" w:rsidP="00E21220">
      <w:pPr>
        <w:numPr>
          <w:ilvl w:val="0"/>
          <w:numId w:val="2"/>
        </w:numPr>
        <w:spacing w:before="100" w:beforeAutospacing="1" w:after="100" w:afterAutospacing="1"/>
        <w:rPr>
          <w:rFonts w:eastAsia="Times New Roman" w:cs="Times New Roman"/>
          <w:sz w:val="10"/>
          <w:szCs w:val="10"/>
        </w:rPr>
      </w:pPr>
      <w:r w:rsidRPr="00E21220">
        <w:rPr>
          <w:rFonts w:eastAsia="Times New Roman" w:cs="Times New Roman"/>
          <w:sz w:val="10"/>
        </w:rPr>
        <w:t>1991, Massachusetts</w:t>
      </w:r>
    </w:p>
    <w:p w:rsidR="00E21220" w:rsidRPr="00E21220" w:rsidRDefault="00E21220" w:rsidP="00E21220">
      <w:pPr>
        <w:numPr>
          <w:ilvl w:val="0"/>
          <w:numId w:val="2"/>
        </w:numPr>
        <w:spacing w:before="100" w:beforeAutospacing="1" w:after="100" w:afterAutospacing="1"/>
        <w:rPr>
          <w:rFonts w:eastAsia="Times New Roman" w:cs="Times New Roman"/>
          <w:sz w:val="10"/>
          <w:szCs w:val="10"/>
        </w:rPr>
      </w:pPr>
      <w:r w:rsidRPr="00E21220">
        <w:rPr>
          <w:rFonts w:eastAsia="Times New Roman" w:cs="Times New Roman"/>
          <w:sz w:val="10"/>
        </w:rPr>
        <w:t>1985, U.S. Court of Appeals, Ninth Circuit</w:t>
      </w:r>
    </w:p>
    <w:p w:rsidR="00E21220" w:rsidRPr="00E21220" w:rsidRDefault="00E21220" w:rsidP="00E21220">
      <w:pPr>
        <w:numPr>
          <w:ilvl w:val="0"/>
          <w:numId w:val="2"/>
        </w:numPr>
        <w:spacing w:before="100" w:beforeAutospacing="1" w:after="100" w:afterAutospacing="1"/>
        <w:rPr>
          <w:rFonts w:eastAsia="Times New Roman" w:cs="Times New Roman"/>
          <w:sz w:val="10"/>
          <w:szCs w:val="10"/>
        </w:rPr>
      </w:pPr>
      <w:r w:rsidRPr="00E21220">
        <w:rPr>
          <w:rFonts w:eastAsia="Times New Roman" w:cs="Times New Roman"/>
          <w:sz w:val="10"/>
        </w:rPr>
        <w:t>1984, Washington and U.S. District Court, Western District of Washington</w:t>
      </w:r>
    </w:p>
    <w:p w:rsidR="00E21220" w:rsidRPr="00E21220" w:rsidRDefault="00E21220" w:rsidP="00E21220">
      <w:pPr>
        <w:spacing w:before="100" w:beforeAutospacing="1" w:after="100" w:afterAutospacing="1" w:line="430" w:lineRule="atLeast"/>
        <w:rPr>
          <w:rFonts w:eastAsia="Times New Roman" w:cs="Times New Roman"/>
          <w:sz w:val="10"/>
          <w:szCs w:val="10"/>
        </w:rPr>
      </w:pPr>
      <w:r w:rsidRPr="00E21220">
        <w:rPr>
          <w:rFonts w:eastAsia="Times New Roman" w:cs="Times New Roman"/>
          <w:sz w:val="10"/>
        </w:rPr>
        <w:t>​</w:t>
      </w:r>
      <w:r w:rsidRPr="00E21220">
        <w:rPr>
          <w:rFonts w:eastAsia="Times New Roman" w:cs="Times New Roman"/>
          <w:b/>
          <w:bCs/>
          <w:sz w:val="10"/>
        </w:rPr>
        <w:t>Education</w:t>
      </w:r>
      <w:r w:rsidRPr="00E21220">
        <w:rPr>
          <w:rFonts w:eastAsia="Times New Roman" w:cs="Times New Roman"/>
          <w:sz w:val="10"/>
        </w:rPr>
        <w:t>​</w:t>
      </w:r>
    </w:p>
    <w:p w:rsidR="00E21220" w:rsidRPr="00E21220" w:rsidRDefault="00E21220" w:rsidP="00E21220">
      <w:pPr>
        <w:numPr>
          <w:ilvl w:val="0"/>
          <w:numId w:val="3"/>
        </w:numPr>
        <w:spacing w:before="100" w:beforeAutospacing="1" w:after="100" w:afterAutospacing="1"/>
        <w:rPr>
          <w:rFonts w:eastAsia="Times New Roman" w:cs="Times New Roman"/>
          <w:sz w:val="10"/>
          <w:szCs w:val="10"/>
        </w:rPr>
      </w:pPr>
      <w:r w:rsidRPr="00E21220">
        <w:rPr>
          <w:rFonts w:eastAsia="Times New Roman" w:cs="Times New Roman"/>
          <w:sz w:val="10"/>
        </w:rPr>
        <w:t>Duke University School of Law, J.D. 1984</w:t>
      </w:r>
    </w:p>
    <w:p w:rsidR="00E21220" w:rsidRPr="00E21220" w:rsidRDefault="00E21220" w:rsidP="00E21220">
      <w:pPr>
        <w:numPr>
          <w:ilvl w:val="0"/>
          <w:numId w:val="3"/>
        </w:numPr>
        <w:spacing w:before="100" w:beforeAutospacing="1" w:after="100" w:afterAutospacing="1"/>
        <w:rPr>
          <w:rFonts w:eastAsia="Times New Roman" w:cs="Times New Roman"/>
          <w:sz w:val="10"/>
          <w:szCs w:val="10"/>
        </w:rPr>
      </w:pPr>
      <w:r w:rsidRPr="00E21220">
        <w:rPr>
          <w:rFonts w:eastAsia="Times New Roman" w:cs="Times New Roman"/>
          <w:sz w:val="10"/>
        </w:rPr>
        <w:t>Columbia University, M.P.A. 1979</w:t>
      </w:r>
    </w:p>
    <w:p w:rsidR="00E21220" w:rsidRPr="00E21220" w:rsidRDefault="00E21220" w:rsidP="00E21220">
      <w:pPr>
        <w:numPr>
          <w:ilvl w:val="0"/>
          <w:numId w:val="3"/>
        </w:numPr>
        <w:spacing w:before="100" w:beforeAutospacing="1" w:after="100" w:afterAutospacing="1"/>
        <w:rPr>
          <w:rFonts w:eastAsia="Times New Roman" w:cs="Times New Roman"/>
          <w:sz w:val="10"/>
          <w:szCs w:val="10"/>
        </w:rPr>
      </w:pPr>
      <w:r w:rsidRPr="00E21220">
        <w:rPr>
          <w:rFonts w:eastAsia="Times New Roman" w:cs="Times New Roman"/>
          <w:sz w:val="10"/>
        </w:rPr>
        <w:t>Williams College, B.A. 1977</w:t>
      </w:r>
    </w:p>
    <w:p w:rsidR="00761C70" w:rsidRPr="00E21220" w:rsidRDefault="00E21220" w:rsidP="00E21220">
      <w:pPr>
        <w:numPr>
          <w:ilvl w:val="0"/>
          <w:numId w:val="3"/>
        </w:numPr>
        <w:spacing w:before="100" w:beforeAutospacing="1" w:after="100" w:afterAutospacing="1"/>
        <w:rPr>
          <w:rFonts w:eastAsia="Times New Roman" w:cs="Times New Roman"/>
          <w:sz w:val="10"/>
          <w:szCs w:val="10"/>
        </w:rPr>
      </w:pPr>
      <w:r w:rsidRPr="00E21220">
        <w:rPr>
          <w:rFonts w:eastAsia="Times New Roman" w:cs="Times New Roman"/>
          <w:sz w:val="10"/>
        </w:rPr>
        <w:t>Belmont Hill School, 1973</w:t>
      </w:r>
    </w:p>
    <w:sectPr w:rsidR="00761C70" w:rsidRPr="00E21220" w:rsidSect="00E203E6">
      <w:pgSz w:w="12240" w:h="15840" w:code="1"/>
      <w:pgMar w:top="1440" w:right="1440" w:bottom="1440" w:left="1440" w:header="1440" w:footer="144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C6166"/>
    <w:multiLevelType w:val="multilevel"/>
    <w:tmpl w:val="A1FE0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410E95"/>
    <w:multiLevelType w:val="multilevel"/>
    <w:tmpl w:val="47585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F3330B"/>
    <w:multiLevelType w:val="multilevel"/>
    <w:tmpl w:val="AF56F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1938C7"/>
    <w:multiLevelType w:val="multilevel"/>
    <w:tmpl w:val="DD5E1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C02326"/>
    <w:multiLevelType w:val="multilevel"/>
    <w:tmpl w:val="3418F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8B36DD"/>
    <w:multiLevelType w:val="multilevel"/>
    <w:tmpl w:val="183AC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A9215D"/>
    <w:multiLevelType w:val="multilevel"/>
    <w:tmpl w:val="2EA00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691084A"/>
    <w:multiLevelType w:val="multilevel"/>
    <w:tmpl w:val="65863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5"/>
  </w:num>
  <w:num w:numId="5">
    <w:abstractNumId w:val="6"/>
  </w:num>
  <w:num w:numId="6">
    <w:abstractNumId w:val="3"/>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0"/>
  <w:proofState w:spelling="clean" w:grammar="clean"/>
  <w:defaultTabStop w:val="720"/>
  <w:drawingGridHorizontalSpacing w:val="120"/>
  <w:displayHorizontalDrawingGridEvery w:val="2"/>
  <w:displayVerticalDrawingGridEvery w:val="2"/>
  <w:characterSpacingControl w:val="doNotCompress"/>
  <w:compat/>
  <w:rsids>
    <w:rsidRoot w:val="00E21220"/>
    <w:rsid w:val="00761C70"/>
    <w:rsid w:val="00E203E6"/>
    <w:rsid w:val="00E21220"/>
    <w:rsid w:val="00E71B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C70"/>
  </w:style>
  <w:style w:type="paragraph" w:styleId="Heading1">
    <w:name w:val="heading 1"/>
    <w:basedOn w:val="Normal"/>
    <w:link w:val="Heading1Char"/>
    <w:uiPriority w:val="9"/>
    <w:qFormat/>
    <w:rsid w:val="00E21220"/>
    <w:pPr>
      <w:spacing w:before="100" w:beforeAutospacing="1" w:after="100" w:afterAutospacing="1"/>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1220"/>
    <w:rPr>
      <w:rFonts w:eastAsia="Times New Roman" w:cs="Times New Roman"/>
      <w:b/>
      <w:bCs/>
      <w:kern w:val="36"/>
      <w:sz w:val="48"/>
      <w:szCs w:val="48"/>
    </w:rPr>
  </w:style>
  <w:style w:type="character" w:customStyle="1" w:styleId="color15">
    <w:name w:val="color_15"/>
    <w:basedOn w:val="DefaultParagraphFont"/>
    <w:rsid w:val="00E21220"/>
  </w:style>
  <w:style w:type="paragraph" w:customStyle="1" w:styleId="font1">
    <w:name w:val="font_1"/>
    <w:basedOn w:val="Normal"/>
    <w:rsid w:val="00E21220"/>
    <w:pPr>
      <w:spacing w:before="100" w:beforeAutospacing="1" w:after="100" w:afterAutospacing="1"/>
    </w:pPr>
    <w:rPr>
      <w:rFonts w:eastAsia="Times New Roman" w:cs="Times New Roman"/>
      <w:szCs w:val="24"/>
    </w:rPr>
  </w:style>
  <w:style w:type="paragraph" w:customStyle="1" w:styleId="font10">
    <w:name w:val="font_10"/>
    <w:basedOn w:val="Normal"/>
    <w:rsid w:val="00E21220"/>
    <w:pPr>
      <w:spacing w:before="100" w:beforeAutospacing="1" w:after="100" w:afterAutospacing="1"/>
    </w:pPr>
    <w:rPr>
      <w:rFonts w:eastAsia="Times New Roman" w:cs="Times New Roman"/>
      <w:szCs w:val="24"/>
    </w:rPr>
  </w:style>
  <w:style w:type="character" w:styleId="Hyperlink">
    <w:name w:val="Hyperlink"/>
    <w:basedOn w:val="DefaultParagraphFont"/>
    <w:uiPriority w:val="99"/>
    <w:semiHidden/>
    <w:unhideWhenUsed/>
    <w:rsid w:val="00E21220"/>
    <w:rPr>
      <w:color w:val="0000FF"/>
      <w:u w:val="single"/>
    </w:rPr>
  </w:style>
  <w:style w:type="character" w:customStyle="1" w:styleId="wixguard">
    <w:name w:val="wixguard"/>
    <w:basedOn w:val="DefaultParagraphFont"/>
    <w:rsid w:val="00E21220"/>
  </w:style>
</w:styles>
</file>

<file path=word/webSettings.xml><?xml version="1.0" encoding="utf-8"?>
<w:webSettings xmlns:r="http://schemas.openxmlformats.org/officeDocument/2006/relationships" xmlns:w="http://schemas.openxmlformats.org/wordprocessingml/2006/main">
  <w:divs>
    <w:div w:id="1162039244">
      <w:bodyDiv w:val="1"/>
      <w:marLeft w:val="0"/>
      <w:marRight w:val="0"/>
      <w:marTop w:val="0"/>
      <w:marBottom w:val="0"/>
      <w:divBdr>
        <w:top w:val="none" w:sz="0" w:space="0" w:color="auto"/>
        <w:left w:val="none" w:sz="0" w:space="0" w:color="auto"/>
        <w:bottom w:val="none" w:sz="0" w:space="0" w:color="auto"/>
        <w:right w:val="none" w:sz="0" w:space="0" w:color="auto"/>
      </w:divBdr>
      <w:divsChild>
        <w:div w:id="683170396">
          <w:marLeft w:val="0"/>
          <w:marRight w:val="0"/>
          <w:marTop w:val="0"/>
          <w:marBottom w:val="0"/>
          <w:divBdr>
            <w:top w:val="none" w:sz="0" w:space="0" w:color="auto"/>
            <w:left w:val="none" w:sz="0" w:space="0" w:color="auto"/>
            <w:bottom w:val="none" w:sz="0" w:space="0" w:color="auto"/>
            <w:right w:val="none" w:sz="0" w:space="0" w:color="auto"/>
          </w:divBdr>
        </w:div>
        <w:div w:id="785660799">
          <w:marLeft w:val="0"/>
          <w:marRight w:val="0"/>
          <w:marTop w:val="0"/>
          <w:marBottom w:val="0"/>
          <w:divBdr>
            <w:top w:val="none" w:sz="0" w:space="0" w:color="auto"/>
            <w:left w:val="none" w:sz="0" w:space="0" w:color="auto"/>
            <w:bottom w:val="none" w:sz="0" w:space="0" w:color="auto"/>
            <w:right w:val="none" w:sz="0" w:space="0" w:color="auto"/>
          </w:divBdr>
        </w:div>
        <w:div w:id="3889169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mo.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mitemaritime.org/" TargetMode="External"/><Relationship Id="rId5" Type="http://schemas.openxmlformats.org/officeDocument/2006/relationships/hyperlink" Target="http://www.mlaus.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245</Words>
  <Characters>1613</Characters>
  <Application>Microsoft Office Word</Application>
  <DocSecurity>0</DocSecurity>
  <Lines>94</Lines>
  <Paragraphs>84</Paragraphs>
  <ScaleCrop>false</ScaleCrop>
  <Company/>
  <LinksUpToDate>false</LinksUpToDate>
  <CharactersWithSpaces>1774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Shaukat, Imran O.</dc:creator>
  <cp:lastModifiedBy>Shaukat, Imran O.</cp:lastModifiedBy>
  <cp:revision>1</cp:revision>
  <dcterms:created xsi:type="dcterms:W3CDTF">2022-03-21T14:22:00Z</dcterms:created>
  <dcterms:modified xsi:type="dcterms:W3CDTF">2022-03-21T14:24:00Z</dcterms:modified>
</cp:coreProperties>
</file>