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1766" w14:textId="77777777" w:rsidR="004E07FB" w:rsidRPr="004A76D4" w:rsidRDefault="00A81D8F" w:rsidP="008D37A8">
      <w:pPr>
        <w:spacing w:after="0" w:line="240" w:lineRule="auto"/>
        <w:jc w:val="center"/>
        <w:rPr>
          <w:rFonts w:ascii="Times New Roman" w:hAnsi="Times New Roman" w:cs="Times New Roman"/>
        </w:rPr>
      </w:pPr>
      <w:r w:rsidRPr="004A76D4">
        <w:rPr>
          <w:rFonts w:ascii="Times New Roman" w:hAnsi="Times New Roman" w:cs="Times New Roman"/>
        </w:rPr>
        <w:t>Maritime Law Association – Spring Meeting</w:t>
      </w:r>
      <w:r w:rsidR="004E07FB" w:rsidRPr="004A76D4">
        <w:rPr>
          <w:rFonts w:ascii="Times New Roman" w:hAnsi="Times New Roman" w:cs="Times New Roman"/>
        </w:rPr>
        <w:t xml:space="preserve"> </w:t>
      </w:r>
    </w:p>
    <w:p w14:paraId="2B1847FD" w14:textId="77777777" w:rsidR="004E07FB" w:rsidRPr="004A76D4" w:rsidRDefault="00A81D8F" w:rsidP="008D37A8">
      <w:pPr>
        <w:spacing w:after="0" w:line="240" w:lineRule="auto"/>
        <w:jc w:val="center"/>
        <w:rPr>
          <w:rFonts w:ascii="Times New Roman" w:hAnsi="Times New Roman" w:cs="Times New Roman"/>
        </w:rPr>
      </w:pPr>
      <w:r w:rsidRPr="004A76D4">
        <w:rPr>
          <w:rFonts w:ascii="Times New Roman" w:hAnsi="Times New Roman" w:cs="Times New Roman"/>
        </w:rPr>
        <w:t>Continuing Legal Education Program</w:t>
      </w:r>
    </w:p>
    <w:p w14:paraId="53D9178E" w14:textId="591238C2" w:rsidR="00A81D8F" w:rsidRPr="004A76D4" w:rsidRDefault="00A81D8F" w:rsidP="008D37A8">
      <w:pPr>
        <w:spacing w:after="0" w:line="240" w:lineRule="auto"/>
        <w:jc w:val="center"/>
        <w:rPr>
          <w:rFonts w:ascii="Times New Roman" w:hAnsi="Times New Roman" w:cs="Times New Roman"/>
        </w:rPr>
      </w:pPr>
      <w:r w:rsidRPr="004A76D4">
        <w:rPr>
          <w:rFonts w:ascii="Times New Roman" w:hAnsi="Times New Roman" w:cs="Times New Roman"/>
        </w:rPr>
        <w:t xml:space="preserve">Joint Meeting of Committee on Uniformity of U.S. Maritime Law and </w:t>
      </w:r>
      <w:r w:rsidR="005D3E78" w:rsidRPr="004A76D4">
        <w:rPr>
          <w:rFonts w:ascii="Times New Roman" w:hAnsi="Times New Roman" w:cs="Times New Roman"/>
        </w:rPr>
        <w:t>Salvage law</w:t>
      </w:r>
    </w:p>
    <w:p w14:paraId="4A697741" w14:textId="15C08C12" w:rsidR="00A81D8F" w:rsidRPr="004A76D4" w:rsidRDefault="005D3E78" w:rsidP="008D37A8">
      <w:pPr>
        <w:spacing w:after="0" w:line="240" w:lineRule="auto"/>
        <w:jc w:val="center"/>
        <w:rPr>
          <w:rFonts w:ascii="Times New Roman" w:hAnsi="Times New Roman" w:cs="Times New Roman"/>
          <w:b/>
          <w:bCs/>
        </w:rPr>
      </w:pPr>
      <w:r w:rsidRPr="004A76D4">
        <w:rPr>
          <w:rFonts w:ascii="Times New Roman" w:hAnsi="Times New Roman" w:cs="Times New Roman"/>
          <w:b/>
          <w:bCs/>
        </w:rPr>
        <w:t>The Right to a Jury Trial in Cases under the Oil Pollution Act of 1990</w:t>
      </w:r>
    </w:p>
    <w:p w14:paraId="06C92CAD" w14:textId="4B10DC31" w:rsidR="005012E7" w:rsidRPr="004A76D4" w:rsidRDefault="00A81D8F" w:rsidP="008D37A8">
      <w:pPr>
        <w:spacing w:after="0" w:line="240" w:lineRule="auto"/>
        <w:jc w:val="center"/>
        <w:rPr>
          <w:rFonts w:ascii="Times New Roman" w:hAnsi="Times New Roman" w:cs="Times New Roman"/>
        </w:rPr>
      </w:pPr>
      <w:r w:rsidRPr="004A76D4">
        <w:rPr>
          <w:rFonts w:ascii="Times New Roman" w:hAnsi="Times New Roman" w:cs="Times New Roman"/>
        </w:rPr>
        <w:t>Proposed Length: 30 minutes</w:t>
      </w:r>
    </w:p>
    <w:p w14:paraId="695BD93A" w14:textId="5D8E82C2" w:rsidR="005D3E78" w:rsidRPr="004A76D4" w:rsidRDefault="005D3E78" w:rsidP="008D37A8">
      <w:pPr>
        <w:spacing w:after="0" w:line="240" w:lineRule="auto"/>
        <w:jc w:val="center"/>
        <w:rPr>
          <w:rFonts w:ascii="Times New Roman" w:hAnsi="Times New Roman" w:cs="Times New Roman"/>
        </w:rPr>
      </w:pPr>
      <w:r w:rsidRPr="004A76D4">
        <w:rPr>
          <w:rFonts w:ascii="Times New Roman" w:hAnsi="Times New Roman" w:cs="Times New Roman"/>
        </w:rPr>
        <w:t>LCDR Benjamin Robinson</w:t>
      </w:r>
      <w:r w:rsidR="004E07FB" w:rsidRPr="004A76D4">
        <w:rPr>
          <w:rFonts w:ascii="Times New Roman" w:hAnsi="Times New Roman" w:cs="Times New Roman"/>
        </w:rPr>
        <w:t>,</w:t>
      </w:r>
      <w:r w:rsidRPr="004A76D4">
        <w:rPr>
          <w:rFonts w:ascii="Times New Roman" w:hAnsi="Times New Roman" w:cs="Times New Roman"/>
        </w:rPr>
        <w:t xml:space="preserve"> U.S. Coast Guard</w:t>
      </w:r>
      <w:r w:rsidRPr="004A76D4">
        <w:rPr>
          <w:rStyle w:val="FootnoteReference"/>
          <w:rFonts w:ascii="Times New Roman" w:hAnsi="Times New Roman" w:cs="Times New Roman"/>
        </w:rPr>
        <w:footnoteReference w:id="1"/>
      </w:r>
    </w:p>
    <w:p w14:paraId="33097D3A" w14:textId="77777777" w:rsidR="008D37A8" w:rsidRPr="004A76D4" w:rsidRDefault="008D37A8" w:rsidP="005D3E78">
      <w:pPr>
        <w:rPr>
          <w:rFonts w:ascii="Times New Roman" w:hAnsi="Times New Roman" w:cs="Times New Roman"/>
        </w:rPr>
      </w:pPr>
    </w:p>
    <w:p w14:paraId="5B073DDA" w14:textId="6105B54F" w:rsidR="005D3E78" w:rsidRPr="004A76D4" w:rsidRDefault="005D3E78" w:rsidP="005D3E78">
      <w:pPr>
        <w:rPr>
          <w:rFonts w:ascii="Times New Roman" w:hAnsi="Times New Roman" w:cs="Times New Roman"/>
          <w:b/>
          <w:bCs/>
        </w:rPr>
      </w:pPr>
      <w:r w:rsidRPr="004A76D4">
        <w:rPr>
          <w:rFonts w:ascii="Times New Roman" w:hAnsi="Times New Roman" w:cs="Times New Roman"/>
          <w:b/>
          <w:bCs/>
        </w:rPr>
        <w:t>Introduction</w:t>
      </w:r>
    </w:p>
    <w:p w14:paraId="31D156A3" w14:textId="309F55A0" w:rsidR="005D3E78" w:rsidRPr="004A76D4" w:rsidRDefault="005D3E78" w:rsidP="005D3E78">
      <w:pPr>
        <w:rPr>
          <w:rFonts w:ascii="Times New Roman" w:hAnsi="Times New Roman" w:cs="Times New Roman"/>
        </w:rPr>
      </w:pPr>
      <w:r w:rsidRPr="004A76D4">
        <w:rPr>
          <w:rFonts w:ascii="Times New Roman" w:hAnsi="Times New Roman" w:cs="Times New Roman"/>
        </w:rPr>
        <w:t xml:space="preserve">The Oil Pollution Act of 1990 </w:t>
      </w:r>
      <w:r w:rsidR="00322527" w:rsidRPr="004A76D4">
        <w:rPr>
          <w:rFonts w:ascii="Times New Roman" w:hAnsi="Times New Roman" w:cs="Times New Roman"/>
        </w:rPr>
        <w:t xml:space="preserve">established a liability regime </w:t>
      </w:r>
      <w:r w:rsidR="00A8748C" w:rsidRPr="004A76D4">
        <w:rPr>
          <w:rFonts w:ascii="Times New Roman" w:hAnsi="Times New Roman" w:cs="Times New Roman"/>
        </w:rPr>
        <w:t xml:space="preserve">for </w:t>
      </w:r>
      <w:r w:rsidR="00322527" w:rsidRPr="004A76D4">
        <w:rPr>
          <w:rFonts w:ascii="Times New Roman" w:hAnsi="Times New Roman" w:cs="Times New Roman"/>
        </w:rPr>
        <w:t>oil removal costs and property loss, economic, and natural resources damages associated with oil discharges into the</w:t>
      </w:r>
      <w:r w:rsidR="007D6FA8" w:rsidRPr="004A76D4">
        <w:rPr>
          <w:rFonts w:ascii="Times New Roman" w:hAnsi="Times New Roman" w:cs="Times New Roman"/>
        </w:rPr>
        <w:t xml:space="preserve"> navigable</w:t>
      </w:r>
      <w:r w:rsidR="00322527" w:rsidRPr="004A76D4">
        <w:rPr>
          <w:rFonts w:ascii="Times New Roman" w:hAnsi="Times New Roman" w:cs="Times New Roman"/>
        </w:rPr>
        <w:t xml:space="preserve"> waters of the United States.  </w:t>
      </w:r>
      <w:r w:rsidR="007D6FA8" w:rsidRPr="004A76D4">
        <w:rPr>
          <w:rFonts w:ascii="Times New Roman" w:hAnsi="Times New Roman" w:cs="Times New Roman"/>
        </w:rPr>
        <w:t>Section 2702 of th</w:t>
      </w:r>
      <w:r w:rsidR="00C44B45" w:rsidRPr="004A76D4">
        <w:rPr>
          <w:rFonts w:ascii="Times New Roman" w:hAnsi="Times New Roman" w:cs="Times New Roman"/>
        </w:rPr>
        <w:t>e</w:t>
      </w:r>
      <w:r w:rsidR="007D6FA8" w:rsidRPr="004A76D4">
        <w:rPr>
          <w:rFonts w:ascii="Times New Roman" w:hAnsi="Times New Roman" w:cs="Times New Roman"/>
        </w:rPr>
        <w:t xml:space="preserve"> statute creates liability for</w:t>
      </w:r>
      <w:r w:rsidR="00C44B45" w:rsidRPr="004A76D4">
        <w:rPr>
          <w:rFonts w:ascii="Times New Roman" w:hAnsi="Times New Roman" w:cs="Times New Roman"/>
        </w:rPr>
        <w:t xml:space="preserve"> vessel or facility responsible parties that discharge oil for costs and damages resulting from the disc</w:t>
      </w:r>
      <w:r w:rsidR="005C608F" w:rsidRPr="004A76D4">
        <w:rPr>
          <w:rFonts w:ascii="Times New Roman" w:hAnsi="Times New Roman" w:cs="Times New Roman"/>
        </w:rPr>
        <w:t>h</w:t>
      </w:r>
      <w:r w:rsidR="00C44B45" w:rsidRPr="004A76D4">
        <w:rPr>
          <w:rFonts w:ascii="Times New Roman" w:hAnsi="Times New Roman" w:cs="Times New Roman"/>
        </w:rPr>
        <w:t>arge.</w:t>
      </w:r>
      <w:r w:rsidR="005C608F" w:rsidRPr="004A76D4">
        <w:rPr>
          <w:rFonts w:ascii="Times New Roman" w:hAnsi="Times New Roman" w:cs="Times New Roman"/>
        </w:rPr>
        <w:t xml:space="preserve">  </w:t>
      </w:r>
      <w:r w:rsidR="00C93C15" w:rsidRPr="004A76D4">
        <w:rPr>
          <w:rFonts w:ascii="Times New Roman" w:hAnsi="Times New Roman" w:cs="Times New Roman"/>
        </w:rPr>
        <w:t>OPA also established process whereby other parties can bring claims</w:t>
      </w:r>
      <w:r w:rsidR="000C0AF2" w:rsidRPr="004A76D4">
        <w:rPr>
          <w:rFonts w:ascii="Times New Roman" w:hAnsi="Times New Roman" w:cs="Times New Roman"/>
        </w:rPr>
        <w:t xml:space="preserve"> to the Oil Spill Liability Trust Fund </w:t>
      </w:r>
      <w:r w:rsidR="00C93C15" w:rsidRPr="004A76D4">
        <w:rPr>
          <w:rFonts w:ascii="Times New Roman" w:hAnsi="Times New Roman" w:cs="Times New Roman"/>
        </w:rPr>
        <w:t>for the reimbursement of oil removal costs that were not paid by responsible parties but should have been under OPA.</w:t>
      </w:r>
      <w:r w:rsidR="00C93C15" w:rsidRPr="004A76D4">
        <w:rPr>
          <w:rStyle w:val="FootnoteReference"/>
          <w:rFonts w:ascii="Times New Roman" w:hAnsi="Times New Roman" w:cs="Times New Roman"/>
        </w:rPr>
        <w:footnoteReference w:id="2"/>
      </w:r>
      <w:r w:rsidR="00C93C15" w:rsidRPr="004A76D4">
        <w:rPr>
          <w:rFonts w:ascii="Times New Roman" w:hAnsi="Times New Roman" w:cs="Times New Roman"/>
        </w:rPr>
        <w:t xml:space="preserve">  When removal costs are paid </w:t>
      </w:r>
      <w:r w:rsidR="000C0AF2" w:rsidRPr="004A76D4">
        <w:rPr>
          <w:rFonts w:ascii="Times New Roman" w:hAnsi="Times New Roman" w:cs="Times New Roman"/>
        </w:rPr>
        <w:t>in response to these claims, the Fund obtains a subrogated right to recover the oil removal costs from the liable responsible party.</w:t>
      </w:r>
      <w:r w:rsidR="00C27D22" w:rsidRPr="004A76D4">
        <w:rPr>
          <w:rStyle w:val="FootnoteReference"/>
          <w:rFonts w:ascii="Times New Roman" w:hAnsi="Times New Roman" w:cs="Times New Roman"/>
        </w:rPr>
        <w:footnoteReference w:id="3"/>
      </w:r>
    </w:p>
    <w:p w14:paraId="41C7A1E6" w14:textId="75E868EE" w:rsidR="00A5571C" w:rsidRPr="004A76D4" w:rsidRDefault="0034524E" w:rsidP="00AE7127">
      <w:pPr>
        <w:rPr>
          <w:rFonts w:ascii="Times New Roman" w:hAnsi="Times New Roman" w:cs="Times New Roman"/>
        </w:rPr>
      </w:pPr>
      <w:r w:rsidRPr="004A76D4">
        <w:rPr>
          <w:rFonts w:ascii="Times New Roman" w:hAnsi="Times New Roman" w:cs="Times New Roman"/>
        </w:rPr>
        <w:t xml:space="preserve">In </w:t>
      </w:r>
      <w:r w:rsidR="00AE7127" w:rsidRPr="004A76D4">
        <w:rPr>
          <w:rFonts w:ascii="Times New Roman" w:hAnsi="Times New Roman" w:cs="Times New Roman"/>
          <w:i/>
          <w:iCs/>
        </w:rPr>
        <w:t>United States v. ERR, LLC</w:t>
      </w:r>
      <w:r w:rsidR="00AE7127" w:rsidRPr="004A76D4">
        <w:rPr>
          <w:rFonts w:ascii="Times New Roman" w:hAnsi="Times New Roman" w:cs="Times New Roman"/>
        </w:rPr>
        <w:t xml:space="preserve">, the </w:t>
      </w:r>
      <w:r w:rsidR="003324A2" w:rsidRPr="004A76D4">
        <w:rPr>
          <w:rFonts w:ascii="Times New Roman" w:hAnsi="Times New Roman" w:cs="Times New Roman"/>
        </w:rPr>
        <w:t xml:space="preserve">Fifth Circuit Court of Appeals </w:t>
      </w:r>
      <w:r w:rsidR="000B301A" w:rsidRPr="004A76D4">
        <w:rPr>
          <w:rFonts w:ascii="Times New Roman" w:hAnsi="Times New Roman" w:cs="Times New Roman"/>
        </w:rPr>
        <w:t xml:space="preserve">reversed </w:t>
      </w:r>
      <w:r w:rsidR="004C25A8" w:rsidRPr="004A76D4">
        <w:rPr>
          <w:rFonts w:ascii="Times New Roman" w:hAnsi="Times New Roman" w:cs="Times New Roman"/>
        </w:rPr>
        <w:t>a</w:t>
      </w:r>
      <w:r w:rsidR="00F15F48" w:rsidRPr="004A76D4">
        <w:rPr>
          <w:rFonts w:ascii="Times New Roman" w:hAnsi="Times New Roman" w:cs="Times New Roman"/>
        </w:rPr>
        <w:t xml:space="preserve"> judgement</w:t>
      </w:r>
      <w:r w:rsidR="0045205C" w:rsidRPr="004A76D4">
        <w:rPr>
          <w:rFonts w:ascii="Times New Roman" w:hAnsi="Times New Roman" w:cs="Times New Roman"/>
        </w:rPr>
        <w:t xml:space="preserve"> that followed a </w:t>
      </w:r>
      <w:r w:rsidR="00680A1B" w:rsidRPr="004A76D4">
        <w:rPr>
          <w:rFonts w:ascii="Times New Roman" w:hAnsi="Times New Roman" w:cs="Times New Roman"/>
        </w:rPr>
        <w:t>four-day</w:t>
      </w:r>
      <w:r w:rsidR="0045205C" w:rsidRPr="004A76D4">
        <w:rPr>
          <w:rFonts w:ascii="Times New Roman" w:hAnsi="Times New Roman" w:cs="Times New Roman"/>
        </w:rPr>
        <w:t xml:space="preserve"> bench trial </w:t>
      </w:r>
      <w:r w:rsidR="00404B5B" w:rsidRPr="004A76D4">
        <w:rPr>
          <w:rFonts w:ascii="Times New Roman" w:hAnsi="Times New Roman" w:cs="Times New Roman"/>
        </w:rPr>
        <w:t>on the grounds that OPA</w:t>
      </w:r>
      <w:r w:rsidR="0045205C" w:rsidRPr="004A76D4">
        <w:rPr>
          <w:rFonts w:ascii="Times New Roman" w:hAnsi="Times New Roman" w:cs="Times New Roman"/>
        </w:rPr>
        <w:t xml:space="preserve"> removal costs are analogous to restitution at law</w:t>
      </w:r>
      <w:r w:rsidR="003526D9" w:rsidRPr="004A76D4">
        <w:rPr>
          <w:rFonts w:ascii="Times New Roman" w:hAnsi="Times New Roman" w:cs="Times New Roman"/>
        </w:rPr>
        <w:t xml:space="preserve"> and thus</w:t>
      </w:r>
      <w:r w:rsidR="006D4883" w:rsidRPr="004A76D4">
        <w:rPr>
          <w:rFonts w:ascii="Times New Roman" w:hAnsi="Times New Roman" w:cs="Times New Roman"/>
        </w:rPr>
        <w:t xml:space="preserve"> fall within the </w:t>
      </w:r>
      <w:r w:rsidR="005D38CF" w:rsidRPr="004A76D4">
        <w:rPr>
          <w:rFonts w:ascii="Times New Roman" w:hAnsi="Times New Roman" w:cs="Times New Roman"/>
        </w:rPr>
        <w:t>Seventh Amendment right to a jury trial</w:t>
      </w:r>
      <w:r w:rsidR="0045205C" w:rsidRPr="004A76D4">
        <w:rPr>
          <w:rFonts w:ascii="Times New Roman" w:hAnsi="Times New Roman" w:cs="Times New Roman"/>
        </w:rPr>
        <w:t>.</w:t>
      </w:r>
      <w:r w:rsidR="0045205C" w:rsidRPr="004A76D4">
        <w:rPr>
          <w:rStyle w:val="FootnoteReference"/>
          <w:rFonts w:ascii="Times New Roman" w:hAnsi="Times New Roman" w:cs="Times New Roman"/>
        </w:rPr>
        <w:footnoteReference w:id="4"/>
      </w:r>
      <w:r w:rsidR="0045205C" w:rsidRPr="004A76D4">
        <w:rPr>
          <w:rFonts w:ascii="Times New Roman" w:hAnsi="Times New Roman" w:cs="Times New Roman"/>
        </w:rPr>
        <w:t xml:space="preserve">  </w:t>
      </w:r>
      <w:r w:rsidR="00AE1518" w:rsidRPr="004A76D4">
        <w:rPr>
          <w:rFonts w:ascii="Times New Roman" w:hAnsi="Times New Roman" w:cs="Times New Roman"/>
        </w:rPr>
        <w:t xml:space="preserve">Prior </w:t>
      </w:r>
      <w:r w:rsidR="00866216" w:rsidRPr="004A76D4">
        <w:rPr>
          <w:rFonts w:ascii="Times New Roman" w:hAnsi="Times New Roman" w:cs="Times New Roman"/>
        </w:rPr>
        <w:t xml:space="preserve">to the decision in </w:t>
      </w:r>
      <w:r w:rsidR="00866216" w:rsidRPr="004A76D4">
        <w:rPr>
          <w:rFonts w:ascii="Times New Roman" w:hAnsi="Times New Roman" w:cs="Times New Roman"/>
          <w:i/>
          <w:iCs/>
        </w:rPr>
        <w:t>E</w:t>
      </w:r>
      <w:r w:rsidR="00886540" w:rsidRPr="004A76D4">
        <w:rPr>
          <w:rFonts w:ascii="Times New Roman" w:hAnsi="Times New Roman" w:cs="Times New Roman"/>
          <w:i/>
          <w:iCs/>
        </w:rPr>
        <w:t>RR</w:t>
      </w:r>
      <w:r w:rsidR="00866216" w:rsidRPr="004A76D4">
        <w:rPr>
          <w:rFonts w:ascii="Times New Roman" w:hAnsi="Times New Roman" w:cs="Times New Roman"/>
        </w:rPr>
        <w:t xml:space="preserve">, </w:t>
      </w:r>
      <w:r w:rsidR="00C41281" w:rsidRPr="004A76D4">
        <w:rPr>
          <w:rFonts w:ascii="Times New Roman" w:hAnsi="Times New Roman" w:cs="Times New Roman"/>
        </w:rPr>
        <w:t xml:space="preserve">two prior cases at the district court level in the </w:t>
      </w:r>
      <w:r w:rsidR="00F90B83" w:rsidRPr="004A76D4">
        <w:rPr>
          <w:rFonts w:ascii="Times New Roman" w:hAnsi="Times New Roman" w:cs="Times New Roman"/>
        </w:rPr>
        <w:t>Fifth Circuit had reached different answers to this question</w:t>
      </w:r>
      <w:r w:rsidR="00016A9A" w:rsidRPr="004A76D4">
        <w:rPr>
          <w:rFonts w:ascii="Times New Roman" w:hAnsi="Times New Roman" w:cs="Times New Roman"/>
        </w:rPr>
        <w:t>.</w:t>
      </w:r>
      <w:r w:rsidR="00B63F40" w:rsidRPr="004A76D4">
        <w:rPr>
          <w:rStyle w:val="FootnoteReference"/>
          <w:rFonts w:ascii="Times New Roman" w:hAnsi="Times New Roman" w:cs="Times New Roman"/>
        </w:rPr>
        <w:footnoteReference w:id="5"/>
      </w:r>
      <w:r w:rsidR="00016A9A" w:rsidRPr="004A76D4">
        <w:rPr>
          <w:rFonts w:ascii="Times New Roman" w:hAnsi="Times New Roman" w:cs="Times New Roman"/>
        </w:rPr>
        <w:t xml:space="preserve">  </w:t>
      </w:r>
      <w:r w:rsidR="008D4A0C" w:rsidRPr="004A76D4">
        <w:rPr>
          <w:rFonts w:ascii="Times New Roman" w:hAnsi="Times New Roman" w:cs="Times New Roman"/>
        </w:rPr>
        <w:t xml:space="preserve">Although the </w:t>
      </w:r>
      <w:r w:rsidR="008D4A0C" w:rsidRPr="004A76D4">
        <w:rPr>
          <w:rFonts w:ascii="Times New Roman" w:hAnsi="Times New Roman" w:cs="Times New Roman"/>
          <w:i/>
          <w:iCs/>
        </w:rPr>
        <w:t xml:space="preserve">ERR </w:t>
      </w:r>
      <w:r w:rsidR="008D4A0C" w:rsidRPr="004A76D4">
        <w:rPr>
          <w:rFonts w:ascii="Times New Roman" w:hAnsi="Times New Roman" w:cs="Times New Roman"/>
        </w:rPr>
        <w:t xml:space="preserve">decision </w:t>
      </w:r>
      <w:r w:rsidR="00CA656B" w:rsidRPr="004A76D4">
        <w:rPr>
          <w:rFonts w:ascii="Times New Roman" w:hAnsi="Times New Roman" w:cs="Times New Roman"/>
        </w:rPr>
        <w:t xml:space="preserve">helps settle this </w:t>
      </w:r>
      <w:r w:rsidR="006D4A6F" w:rsidRPr="004A76D4">
        <w:rPr>
          <w:rFonts w:ascii="Times New Roman" w:hAnsi="Times New Roman" w:cs="Times New Roman"/>
        </w:rPr>
        <w:t xml:space="preserve">split within the Fifth Circuit, it raises new questions for OPA cases </w:t>
      </w:r>
      <w:r w:rsidR="00DC33B1" w:rsidRPr="004A76D4">
        <w:rPr>
          <w:rFonts w:ascii="Times New Roman" w:hAnsi="Times New Roman" w:cs="Times New Roman"/>
        </w:rPr>
        <w:t>subject to admiralty jurisdiction and the analogous cost recover</w:t>
      </w:r>
      <w:r w:rsidR="00886540" w:rsidRPr="004A76D4">
        <w:rPr>
          <w:rFonts w:ascii="Times New Roman" w:hAnsi="Times New Roman" w:cs="Times New Roman"/>
        </w:rPr>
        <w:t>y</w:t>
      </w:r>
      <w:r w:rsidR="00DC33B1" w:rsidRPr="004A76D4">
        <w:rPr>
          <w:rFonts w:ascii="Times New Roman" w:hAnsi="Times New Roman" w:cs="Times New Roman"/>
        </w:rPr>
        <w:t xml:space="preserve"> actions un</w:t>
      </w:r>
      <w:r w:rsidR="00EA626F" w:rsidRPr="004A76D4">
        <w:rPr>
          <w:rFonts w:ascii="Times New Roman" w:hAnsi="Times New Roman" w:cs="Times New Roman"/>
        </w:rPr>
        <w:t>der section 107 of the Comprehensive Environmental Response, Compensation, and Liability Act (CERCLA).</w:t>
      </w:r>
    </w:p>
    <w:p w14:paraId="1B4FC586" w14:textId="3CAB3224" w:rsidR="00EA626F" w:rsidRPr="004A76D4" w:rsidRDefault="000D0C43" w:rsidP="00AE7127">
      <w:pPr>
        <w:rPr>
          <w:rFonts w:ascii="Times New Roman" w:hAnsi="Times New Roman" w:cs="Times New Roman"/>
        </w:rPr>
      </w:pPr>
      <w:r w:rsidRPr="004A76D4">
        <w:rPr>
          <w:rFonts w:ascii="Times New Roman" w:hAnsi="Times New Roman" w:cs="Times New Roman"/>
          <w:b/>
          <w:bCs/>
        </w:rPr>
        <w:t>Oil Spill Liability Prior to OPA 90</w:t>
      </w:r>
      <w:r w:rsidR="00053EAE" w:rsidRPr="004A76D4">
        <w:rPr>
          <w:rFonts w:ascii="Times New Roman" w:hAnsi="Times New Roman" w:cs="Times New Roman"/>
        </w:rPr>
        <w:t>.</w:t>
      </w:r>
    </w:p>
    <w:p w14:paraId="38D48A7D" w14:textId="25AD594A" w:rsidR="00CC3631" w:rsidRPr="004A76D4" w:rsidRDefault="00960D56" w:rsidP="00AE7127">
      <w:pPr>
        <w:rPr>
          <w:rFonts w:ascii="Times New Roman" w:hAnsi="Times New Roman" w:cs="Times New Roman"/>
        </w:rPr>
      </w:pPr>
      <w:r w:rsidRPr="004A76D4">
        <w:rPr>
          <w:rFonts w:ascii="Times New Roman" w:hAnsi="Times New Roman" w:cs="Times New Roman"/>
        </w:rPr>
        <w:t xml:space="preserve">Prior to </w:t>
      </w:r>
      <w:r w:rsidR="009D7924" w:rsidRPr="004A76D4">
        <w:rPr>
          <w:rFonts w:ascii="Times New Roman" w:hAnsi="Times New Roman" w:cs="Times New Roman"/>
        </w:rPr>
        <w:t xml:space="preserve">the enactment of OPA </w:t>
      </w:r>
      <w:r w:rsidR="00084A25" w:rsidRPr="004A76D4">
        <w:rPr>
          <w:rFonts w:ascii="Times New Roman" w:hAnsi="Times New Roman" w:cs="Times New Roman"/>
        </w:rPr>
        <w:t xml:space="preserve">90, </w:t>
      </w:r>
      <w:r w:rsidR="008E772C" w:rsidRPr="004A76D4">
        <w:rPr>
          <w:rFonts w:ascii="Times New Roman" w:hAnsi="Times New Roman" w:cs="Times New Roman"/>
        </w:rPr>
        <w:t xml:space="preserve">liability for oil removal costs oil spill damages were </w:t>
      </w:r>
      <w:r w:rsidR="00512F15" w:rsidRPr="004A76D4">
        <w:rPr>
          <w:rFonts w:ascii="Times New Roman" w:hAnsi="Times New Roman" w:cs="Times New Roman"/>
        </w:rPr>
        <w:t>governed by the CWA and FWPCA.</w:t>
      </w:r>
      <w:r w:rsidR="001E762C" w:rsidRPr="004A76D4">
        <w:rPr>
          <w:rFonts w:ascii="Times New Roman" w:hAnsi="Times New Roman" w:cs="Times New Roman"/>
        </w:rPr>
        <w:t xml:space="preserve">  </w:t>
      </w:r>
      <w:r w:rsidR="00855231" w:rsidRPr="004A76D4">
        <w:rPr>
          <w:rFonts w:ascii="Times New Roman" w:hAnsi="Times New Roman" w:cs="Times New Roman"/>
        </w:rPr>
        <w:t xml:space="preserve">The CWA and FWPCA </w:t>
      </w:r>
      <w:r w:rsidR="00AD4763" w:rsidRPr="004A76D4">
        <w:rPr>
          <w:rFonts w:ascii="Times New Roman" w:hAnsi="Times New Roman" w:cs="Times New Roman"/>
        </w:rPr>
        <w:t>lacked two key features of OPA</w:t>
      </w:r>
      <w:r w:rsidR="003729E8" w:rsidRPr="004A76D4">
        <w:rPr>
          <w:rFonts w:ascii="Times New Roman" w:hAnsi="Times New Roman" w:cs="Times New Roman"/>
        </w:rPr>
        <w:t>.  First,</w:t>
      </w:r>
      <w:r w:rsidR="00A966D4" w:rsidRPr="004A76D4">
        <w:rPr>
          <w:rFonts w:ascii="Times New Roman" w:hAnsi="Times New Roman" w:cs="Times New Roman"/>
        </w:rPr>
        <w:t xml:space="preserve"> </w:t>
      </w:r>
      <w:r w:rsidR="001B7772" w:rsidRPr="004A76D4">
        <w:rPr>
          <w:rFonts w:ascii="Times New Roman" w:hAnsi="Times New Roman" w:cs="Times New Roman"/>
        </w:rPr>
        <w:t xml:space="preserve">oil spill clean-up was often </w:t>
      </w:r>
      <w:r w:rsidR="00EF65BD" w:rsidRPr="004A76D4">
        <w:rPr>
          <w:rFonts w:ascii="Times New Roman" w:hAnsi="Times New Roman" w:cs="Times New Roman"/>
        </w:rPr>
        <w:t>funded directly by federal agency funds</w:t>
      </w:r>
      <w:r w:rsidR="009F4820" w:rsidRPr="004A76D4">
        <w:rPr>
          <w:rFonts w:ascii="Times New Roman" w:hAnsi="Times New Roman" w:cs="Times New Roman"/>
        </w:rPr>
        <w:t>; the Oil Spil Liability Trust Fund</w:t>
      </w:r>
      <w:r w:rsidR="002A53ED" w:rsidRPr="004A76D4">
        <w:rPr>
          <w:rFonts w:ascii="Times New Roman" w:hAnsi="Times New Roman" w:cs="Times New Roman"/>
        </w:rPr>
        <w:t xml:space="preserve">, funded by an oil tax and replenished through cost recovery billing and litigation </w:t>
      </w:r>
      <w:r w:rsidR="00B72349" w:rsidRPr="004A76D4">
        <w:rPr>
          <w:rFonts w:ascii="Times New Roman" w:hAnsi="Times New Roman" w:cs="Times New Roman"/>
        </w:rPr>
        <w:t xml:space="preserve">did not exist.  Second, </w:t>
      </w:r>
      <w:r w:rsidR="004816C6" w:rsidRPr="004A76D4">
        <w:rPr>
          <w:rFonts w:ascii="Times New Roman" w:hAnsi="Times New Roman" w:cs="Times New Roman"/>
        </w:rPr>
        <w:t xml:space="preserve">the damages </w:t>
      </w:r>
      <w:r w:rsidR="00CC3631" w:rsidRPr="004A76D4">
        <w:rPr>
          <w:rFonts w:ascii="Times New Roman" w:hAnsi="Times New Roman" w:cs="Times New Roman"/>
        </w:rPr>
        <w:t>associated with oil spills were governed by general maritime and state tort law.</w:t>
      </w:r>
      <w:r w:rsidR="00BC0AE4" w:rsidRPr="004A76D4">
        <w:rPr>
          <w:rFonts w:ascii="Times New Roman" w:hAnsi="Times New Roman" w:cs="Times New Roman"/>
        </w:rPr>
        <w:t xml:space="preserve">  </w:t>
      </w:r>
      <w:proofErr w:type="gramStart"/>
      <w:r w:rsidR="00BC0AE4" w:rsidRPr="004A76D4">
        <w:rPr>
          <w:rFonts w:ascii="Times New Roman" w:hAnsi="Times New Roman" w:cs="Times New Roman"/>
        </w:rPr>
        <w:t>Both of these</w:t>
      </w:r>
      <w:proofErr w:type="gramEnd"/>
      <w:r w:rsidR="00BC0AE4" w:rsidRPr="004A76D4">
        <w:rPr>
          <w:rFonts w:ascii="Times New Roman" w:hAnsi="Times New Roman" w:cs="Times New Roman"/>
        </w:rPr>
        <w:t xml:space="preserve"> aspects of the OPA statute </w:t>
      </w:r>
      <w:r w:rsidR="00047C0F" w:rsidRPr="004A76D4">
        <w:rPr>
          <w:rFonts w:ascii="Times New Roman" w:hAnsi="Times New Roman" w:cs="Times New Roman"/>
        </w:rPr>
        <w:t xml:space="preserve">were present in the </w:t>
      </w:r>
      <w:r w:rsidR="00047C0F" w:rsidRPr="004A76D4">
        <w:rPr>
          <w:rFonts w:ascii="Times New Roman" w:hAnsi="Times New Roman" w:cs="Times New Roman"/>
          <w:i/>
          <w:iCs/>
        </w:rPr>
        <w:t>ERR</w:t>
      </w:r>
      <w:r w:rsidR="00047C0F" w:rsidRPr="004A76D4">
        <w:rPr>
          <w:rFonts w:ascii="Times New Roman" w:hAnsi="Times New Roman" w:cs="Times New Roman"/>
        </w:rPr>
        <w:t xml:space="preserve"> case.</w:t>
      </w:r>
    </w:p>
    <w:p w14:paraId="36D50601" w14:textId="1BC7E037" w:rsidR="00185A45" w:rsidRPr="004A76D4" w:rsidRDefault="00185A45" w:rsidP="00AE7127">
      <w:pPr>
        <w:rPr>
          <w:rFonts w:ascii="Times New Roman" w:hAnsi="Times New Roman" w:cs="Times New Roman"/>
        </w:rPr>
      </w:pPr>
      <w:r w:rsidRPr="004A76D4">
        <w:rPr>
          <w:rFonts w:ascii="Times New Roman" w:hAnsi="Times New Roman" w:cs="Times New Roman"/>
          <w:b/>
          <w:bCs/>
        </w:rPr>
        <w:t xml:space="preserve">Seventh Amendment analysis in </w:t>
      </w:r>
      <w:r w:rsidRPr="004A76D4">
        <w:rPr>
          <w:rFonts w:ascii="Times New Roman" w:hAnsi="Times New Roman" w:cs="Times New Roman"/>
          <w:b/>
          <w:bCs/>
          <w:i/>
          <w:iCs/>
        </w:rPr>
        <w:t>Viking Resources</w:t>
      </w:r>
    </w:p>
    <w:p w14:paraId="44507641" w14:textId="4DB3AE2A" w:rsidR="00857753" w:rsidRPr="004A76D4" w:rsidRDefault="00CB69EC" w:rsidP="00857753">
      <w:pPr>
        <w:rPr>
          <w:rFonts w:ascii="Times New Roman" w:hAnsi="Times New Roman" w:cs="Times New Roman"/>
        </w:rPr>
      </w:pPr>
      <w:r w:rsidRPr="004A76D4">
        <w:rPr>
          <w:rFonts w:ascii="Times New Roman" w:hAnsi="Times New Roman" w:cs="Times New Roman"/>
        </w:rPr>
        <w:t xml:space="preserve">The litigation in </w:t>
      </w:r>
      <w:r w:rsidRPr="004A76D4">
        <w:rPr>
          <w:rFonts w:ascii="Times New Roman" w:hAnsi="Times New Roman" w:cs="Times New Roman"/>
          <w:i/>
          <w:iCs/>
        </w:rPr>
        <w:t xml:space="preserve">United States v. </w:t>
      </w:r>
      <w:r w:rsidRPr="004A76D4">
        <w:rPr>
          <w:rFonts w:ascii="Times New Roman" w:hAnsi="Times New Roman" w:cs="Times New Roman"/>
          <w:i/>
          <w:iCs/>
        </w:rPr>
        <w:t>Viking Resources</w:t>
      </w:r>
      <w:r w:rsidRPr="004A76D4">
        <w:rPr>
          <w:rFonts w:ascii="Times New Roman" w:hAnsi="Times New Roman" w:cs="Times New Roman"/>
        </w:rPr>
        <w:t xml:space="preserve"> </w:t>
      </w:r>
      <w:r w:rsidR="00091FE0" w:rsidRPr="004A76D4">
        <w:rPr>
          <w:rFonts w:ascii="Times New Roman" w:hAnsi="Times New Roman" w:cs="Times New Roman"/>
        </w:rPr>
        <w:t xml:space="preserve">originated with </w:t>
      </w:r>
      <w:r w:rsidR="00047C0F" w:rsidRPr="004A76D4">
        <w:rPr>
          <w:rFonts w:ascii="Times New Roman" w:hAnsi="Times New Roman" w:cs="Times New Roman"/>
        </w:rPr>
        <w:t xml:space="preserve">an </w:t>
      </w:r>
      <w:r w:rsidR="007F71D9" w:rsidRPr="004A76D4">
        <w:rPr>
          <w:rFonts w:ascii="Times New Roman" w:hAnsi="Times New Roman" w:cs="Times New Roman"/>
        </w:rPr>
        <w:t>oil discharge from a tank farm into a tributary of Galveston Bay.</w:t>
      </w:r>
      <w:r w:rsidR="00DD4D2E" w:rsidRPr="004A76D4">
        <w:rPr>
          <w:rFonts w:ascii="Times New Roman" w:hAnsi="Times New Roman" w:cs="Times New Roman"/>
        </w:rPr>
        <w:t xml:space="preserve">  The Coast Guard and EPA</w:t>
      </w:r>
      <w:r w:rsidR="00857753" w:rsidRPr="004A76D4">
        <w:rPr>
          <w:rFonts w:ascii="Times New Roman" w:hAnsi="Times New Roman" w:cs="Times New Roman"/>
        </w:rPr>
        <w:t xml:space="preserve"> incurred</w:t>
      </w:r>
      <w:r w:rsidR="00DD4D2E" w:rsidRPr="004A76D4">
        <w:rPr>
          <w:rFonts w:ascii="Times New Roman" w:hAnsi="Times New Roman" w:cs="Times New Roman"/>
        </w:rPr>
        <w:t xml:space="preserve"> </w:t>
      </w:r>
      <w:r w:rsidR="00857753" w:rsidRPr="004A76D4">
        <w:rPr>
          <w:rFonts w:ascii="Times New Roman" w:hAnsi="Times New Roman" w:cs="Times New Roman"/>
        </w:rPr>
        <w:t>$376,262.96</w:t>
      </w:r>
      <w:r w:rsidR="00857753" w:rsidRPr="004A76D4">
        <w:rPr>
          <w:rFonts w:ascii="Times New Roman" w:hAnsi="Times New Roman" w:cs="Times New Roman"/>
        </w:rPr>
        <w:t xml:space="preserve"> </w:t>
      </w:r>
      <w:r w:rsidR="005C3AB4" w:rsidRPr="004A76D4">
        <w:rPr>
          <w:rFonts w:ascii="Times New Roman" w:hAnsi="Times New Roman" w:cs="Times New Roman"/>
        </w:rPr>
        <w:t>in removal costs responding to the incident</w:t>
      </w:r>
      <w:r w:rsidR="0031410F" w:rsidRPr="004A76D4">
        <w:rPr>
          <w:rFonts w:ascii="Times New Roman" w:hAnsi="Times New Roman" w:cs="Times New Roman"/>
        </w:rPr>
        <w:t xml:space="preserve"> and </w:t>
      </w:r>
      <w:r w:rsidR="006074E5" w:rsidRPr="004A76D4">
        <w:rPr>
          <w:rFonts w:ascii="Times New Roman" w:hAnsi="Times New Roman" w:cs="Times New Roman"/>
        </w:rPr>
        <w:t xml:space="preserve">determined that the spill resulted in </w:t>
      </w:r>
      <w:r w:rsidR="002A7A84" w:rsidRPr="004A76D4">
        <w:rPr>
          <w:rFonts w:ascii="Times New Roman" w:hAnsi="Times New Roman" w:cs="Times New Roman"/>
        </w:rPr>
        <w:t>$271,179.82</w:t>
      </w:r>
      <w:r w:rsidR="002A7A84" w:rsidRPr="004A76D4">
        <w:rPr>
          <w:rFonts w:ascii="Times New Roman" w:hAnsi="Times New Roman" w:cs="Times New Roman"/>
        </w:rPr>
        <w:t xml:space="preserve"> </w:t>
      </w:r>
      <w:r w:rsidR="006074E5" w:rsidRPr="004A76D4">
        <w:rPr>
          <w:rFonts w:ascii="Times New Roman" w:hAnsi="Times New Roman" w:cs="Times New Roman"/>
        </w:rPr>
        <w:t>in natural resource damages</w:t>
      </w:r>
      <w:r w:rsidR="005C3AB4" w:rsidRPr="004A76D4">
        <w:rPr>
          <w:rFonts w:ascii="Times New Roman" w:hAnsi="Times New Roman" w:cs="Times New Roman"/>
        </w:rPr>
        <w:t>.</w:t>
      </w:r>
      <w:r w:rsidR="005C3AB4" w:rsidRPr="004A76D4">
        <w:rPr>
          <w:rStyle w:val="FootnoteReference"/>
          <w:rFonts w:ascii="Times New Roman" w:hAnsi="Times New Roman" w:cs="Times New Roman"/>
        </w:rPr>
        <w:footnoteReference w:id="6"/>
      </w:r>
      <w:r w:rsidR="005C3AB4" w:rsidRPr="004A76D4">
        <w:rPr>
          <w:rFonts w:ascii="Times New Roman" w:hAnsi="Times New Roman" w:cs="Times New Roman"/>
        </w:rPr>
        <w:t xml:space="preserve">  </w:t>
      </w:r>
      <w:r w:rsidR="003537AE" w:rsidRPr="004A76D4">
        <w:rPr>
          <w:rFonts w:ascii="Times New Roman" w:hAnsi="Times New Roman" w:cs="Times New Roman"/>
        </w:rPr>
        <w:t xml:space="preserve"> </w:t>
      </w:r>
      <w:r w:rsidR="009737D7" w:rsidRPr="004A76D4">
        <w:rPr>
          <w:rFonts w:ascii="Times New Roman" w:hAnsi="Times New Roman" w:cs="Times New Roman"/>
        </w:rPr>
        <w:t>Foll</w:t>
      </w:r>
      <w:r w:rsidR="006B0BC0" w:rsidRPr="004A76D4">
        <w:rPr>
          <w:rFonts w:ascii="Times New Roman" w:hAnsi="Times New Roman" w:cs="Times New Roman"/>
        </w:rPr>
        <w:t>ow</w:t>
      </w:r>
      <w:r w:rsidR="009737D7" w:rsidRPr="004A76D4">
        <w:rPr>
          <w:rFonts w:ascii="Times New Roman" w:hAnsi="Times New Roman" w:cs="Times New Roman"/>
        </w:rPr>
        <w:t xml:space="preserve">ing the incident, the NPFC billed </w:t>
      </w:r>
      <w:r w:rsidR="00824460" w:rsidRPr="004A76D4">
        <w:rPr>
          <w:rFonts w:ascii="Times New Roman" w:hAnsi="Times New Roman" w:cs="Times New Roman"/>
        </w:rPr>
        <w:t xml:space="preserve">Viking Resources, who had been the last </w:t>
      </w:r>
      <w:r w:rsidR="006B0BC0" w:rsidRPr="004A76D4">
        <w:rPr>
          <w:rFonts w:ascii="Times New Roman" w:hAnsi="Times New Roman" w:cs="Times New Roman"/>
        </w:rPr>
        <w:t>le</w:t>
      </w:r>
      <w:r w:rsidR="003E294B" w:rsidRPr="004A76D4">
        <w:rPr>
          <w:rFonts w:ascii="Times New Roman" w:hAnsi="Times New Roman" w:cs="Times New Roman"/>
        </w:rPr>
        <w:t>s</w:t>
      </w:r>
      <w:r w:rsidR="006B0BC0" w:rsidRPr="004A76D4">
        <w:rPr>
          <w:rFonts w:ascii="Times New Roman" w:hAnsi="Times New Roman" w:cs="Times New Roman"/>
        </w:rPr>
        <w:t xml:space="preserve">see </w:t>
      </w:r>
      <w:r w:rsidR="00133043" w:rsidRPr="004A76D4">
        <w:rPr>
          <w:rFonts w:ascii="Times New Roman" w:hAnsi="Times New Roman" w:cs="Times New Roman"/>
        </w:rPr>
        <w:t xml:space="preserve">of the oil and gas wells served by the tank farm.  Viking did not respond to the bill and the United States </w:t>
      </w:r>
      <w:proofErr w:type="gramStart"/>
      <w:r w:rsidR="00133043" w:rsidRPr="004A76D4">
        <w:rPr>
          <w:rFonts w:ascii="Times New Roman" w:hAnsi="Times New Roman" w:cs="Times New Roman"/>
        </w:rPr>
        <w:t>brought suit</w:t>
      </w:r>
      <w:proofErr w:type="gramEnd"/>
      <w:r w:rsidR="00133043" w:rsidRPr="004A76D4">
        <w:rPr>
          <w:rFonts w:ascii="Times New Roman" w:hAnsi="Times New Roman" w:cs="Times New Roman"/>
        </w:rPr>
        <w:t xml:space="preserve"> under </w:t>
      </w:r>
      <w:r w:rsidR="00133043" w:rsidRPr="004A76D4">
        <w:rPr>
          <w:rFonts w:ascii="Times New Roman" w:hAnsi="Times New Roman" w:cs="Times New Roman"/>
        </w:rPr>
        <w:lastRenderedPageBreak/>
        <w:t>OPA</w:t>
      </w:r>
      <w:r w:rsidR="00AE4E6D" w:rsidRPr="004A76D4">
        <w:rPr>
          <w:rFonts w:ascii="Times New Roman" w:hAnsi="Times New Roman" w:cs="Times New Roman"/>
        </w:rPr>
        <w:t>, 33 U.S.C. § 2702.</w:t>
      </w:r>
      <w:r w:rsidR="00016633" w:rsidRPr="004A76D4">
        <w:rPr>
          <w:rFonts w:ascii="Times New Roman" w:hAnsi="Times New Roman" w:cs="Times New Roman"/>
        </w:rPr>
        <w:t xml:space="preserve">  </w:t>
      </w:r>
      <w:r w:rsidR="004909A8" w:rsidRPr="004A76D4">
        <w:rPr>
          <w:rFonts w:ascii="Times New Roman" w:hAnsi="Times New Roman" w:cs="Times New Roman"/>
        </w:rPr>
        <w:t>Viking</w:t>
      </w:r>
      <w:r w:rsidR="00923883" w:rsidRPr="004A76D4">
        <w:rPr>
          <w:rFonts w:ascii="Times New Roman" w:hAnsi="Times New Roman" w:cs="Times New Roman"/>
        </w:rPr>
        <w:t>’</w:t>
      </w:r>
      <w:r w:rsidR="004909A8" w:rsidRPr="004A76D4">
        <w:rPr>
          <w:rFonts w:ascii="Times New Roman" w:hAnsi="Times New Roman" w:cs="Times New Roman"/>
        </w:rPr>
        <w:t>s answer</w:t>
      </w:r>
      <w:r w:rsidR="003A62CC" w:rsidRPr="004A76D4">
        <w:rPr>
          <w:rFonts w:ascii="Times New Roman" w:hAnsi="Times New Roman" w:cs="Times New Roman"/>
        </w:rPr>
        <w:t xml:space="preserve"> included a demand for </w:t>
      </w:r>
      <w:r w:rsidR="00DC37F5" w:rsidRPr="004A76D4">
        <w:rPr>
          <w:rFonts w:ascii="Times New Roman" w:hAnsi="Times New Roman" w:cs="Times New Roman"/>
        </w:rPr>
        <w:t xml:space="preserve">jury trial </w:t>
      </w:r>
      <w:r w:rsidR="003A62CC" w:rsidRPr="004A76D4">
        <w:rPr>
          <w:rFonts w:ascii="Times New Roman" w:hAnsi="Times New Roman" w:cs="Times New Roman"/>
        </w:rPr>
        <w:t>under F.R.C.P. 38</w:t>
      </w:r>
      <w:r w:rsidR="00C346BA" w:rsidRPr="004A76D4">
        <w:rPr>
          <w:rFonts w:ascii="Times New Roman" w:hAnsi="Times New Roman" w:cs="Times New Roman"/>
        </w:rPr>
        <w:t>, which the government moved to strike.</w:t>
      </w:r>
    </w:p>
    <w:p w14:paraId="10A1F2CC" w14:textId="17A3C689" w:rsidR="00FA5F70" w:rsidRPr="004A76D4" w:rsidRDefault="00A557D6" w:rsidP="00857753">
      <w:pPr>
        <w:rPr>
          <w:rFonts w:ascii="Times New Roman" w:hAnsi="Times New Roman" w:cs="Times New Roman"/>
        </w:rPr>
      </w:pPr>
      <w:r w:rsidRPr="004A76D4">
        <w:rPr>
          <w:rFonts w:ascii="Times New Roman" w:hAnsi="Times New Roman" w:cs="Times New Roman"/>
        </w:rPr>
        <w:t xml:space="preserve">The </w:t>
      </w:r>
      <w:r w:rsidR="00B47764" w:rsidRPr="004A76D4">
        <w:rPr>
          <w:rFonts w:ascii="Times New Roman" w:hAnsi="Times New Roman" w:cs="Times New Roman"/>
        </w:rPr>
        <w:t xml:space="preserve">right to a jury trial under OPA was, in the assessment of the </w:t>
      </w:r>
      <w:r w:rsidR="00B47764" w:rsidRPr="004A76D4">
        <w:rPr>
          <w:rFonts w:ascii="Times New Roman" w:hAnsi="Times New Roman" w:cs="Times New Roman"/>
          <w:i/>
          <w:iCs/>
        </w:rPr>
        <w:t xml:space="preserve">Viking </w:t>
      </w:r>
      <w:r w:rsidR="00B47764" w:rsidRPr="004A76D4">
        <w:rPr>
          <w:rFonts w:ascii="Times New Roman" w:hAnsi="Times New Roman" w:cs="Times New Roman"/>
        </w:rPr>
        <w:t>court, an issue of first impression.</w:t>
      </w:r>
      <w:r w:rsidR="00E7543B" w:rsidRPr="004A76D4">
        <w:rPr>
          <w:rStyle w:val="FootnoteReference"/>
          <w:rFonts w:ascii="Times New Roman" w:hAnsi="Times New Roman" w:cs="Times New Roman"/>
        </w:rPr>
        <w:footnoteReference w:id="7"/>
      </w:r>
      <w:r w:rsidR="00B47764" w:rsidRPr="004A76D4">
        <w:rPr>
          <w:rFonts w:ascii="Times New Roman" w:hAnsi="Times New Roman" w:cs="Times New Roman"/>
        </w:rPr>
        <w:t xml:space="preserve">  </w:t>
      </w:r>
      <w:r w:rsidR="003C4291" w:rsidRPr="004A76D4">
        <w:rPr>
          <w:rFonts w:ascii="Times New Roman" w:hAnsi="Times New Roman" w:cs="Times New Roman"/>
        </w:rPr>
        <w:t xml:space="preserve">The Court </w:t>
      </w:r>
      <w:r w:rsidR="00273E10" w:rsidRPr="004A76D4">
        <w:rPr>
          <w:rFonts w:ascii="Times New Roman" w:hAnsi="Times New Roman" w:cs="Times New Roman"/>
        </w:rPr>
        <w:t xml:space="preserve">applied the </w:t>
      </w:r>
      <w:r w:rsidR="00001944" w:rsidRPr="004A76D4">
        <w:rPr>
          <w:rFonts w:ascii="Times New Roman" w:hAnsi="Times New Roman" w:cs="Times New Roman"/>
        </w:rPr>
        <w:t xml:space="preserve">widely-used </w:t>
      </w:r>
      <w:r w:rsidR="00B066A4" w:rsidRPr="004A76D4">
        <w:rPr>
          <w:rFonts w:ascii="Times New Roman" w:hAnsi="Times New Roman" w:cs="Times New Roman"/>
        </w:rPr>
        <w:t xml:space="preserve">two factor analysis </w:t>
      </w:r>
      <w:r w:rsidR="00CD62B2" w:rsidRPr="004A76D4">
        <w:rPr>
          <w:rFonts w:ascii="Times New Roman" w:hAnsi="Times New Roman" w:cs="Times New Roman"/>
        </w:rPr>
        <w:t xml:space="preserve">for </w:t>
      </w:r>
      <w:r w:rsidR="00FD7837" w:rsidRPr="004A76D4">
        <w:rPr>
          <w:rFonts w:ascii="Times New Roman" w:hAnsi="Times New Roman" w:cs="Times New Roman"/>
        </w:rPr>
        <w:t xml:space="preserve">statutory causes of action </w:t>
      </w:r>
      <w:r w:rsidR="00001944" w:rsidRPr="004A76D4">
        <w:rPr>
          <w:rFonts w:ascii="Times New Roman" w:hAnsi="Times New Roman" w:cs="Times New Roman"/>
        </w:rPr>
        <w:t xml:space="preserve">set out in </w:t>
      </w:r>
      <w:proofErr w:type="spellStart"/>
      <w:r w:rsidR="00F42B7A" w:rsidRPr="004A76D4">
        <w:rPr>
          <w:rFonts w:ascii="Times New Roman" w:hAnsi="Times New Roman" w:cs="Times New Roman"/>
          <w:i/>
          <w:iCs/>
        </w:rPr>
        <w:t>Granfinanciera</w:t>
      </w:r>
      <w:proofErr w:type="spellEnd"/>
      <w:r w:rsidR="00F42B7A" w:rsidRPr="004A76D4">
        <w:rPr>
          <w:rFonts w:ascii="Times New Roman" w:hAnsi="Times New Roman" w:cs="Times New Roman"/>
          <w:i/>
          <w:iCs/>
        </w:rPr>
        <w:t>, S.A. v. Nordberg</w:t>
      </w:r>
      <w:r w:rsidR="00F42B7A" w:rsidRPr="004A76D4">
        <w:rPr>
          <w:rFonts w:ascii="Times New Roman" w:hAnsi="Times New Roman" w:cs="Times New Roman"/>
        </w:rPr>
        <w:t>.</w:t>
      </w:r>
      <w:r w:rsidR="00F42B7A" w:rsidRPr="004A76D4">
        <w:rPr>
          <w:rStyle w:val="FootnoteReference"/>
          <w:rFonts w:ascii="Times New Roman" w:hAnsi="Times New Roman" w:cs="Times New Roman"/>
        </w:rPr>
        <w:footnoteReference w:id="8"/>
      </w:r>
      <w:r w:rsidR="00F42B7A" w:rsidRPr="004A76D4">
        <w:rPr>
          <w:rFonts w:ascii="Times New Roman" w:hAnsi="Times New Roman" w:cs="Times New Roman"/>
        </w:rPr>
        <w:t xml:space="preserve"> </w:t>
      </w:r>
      <w:r w:rsidR="00CD62B2" w:rsidRPr="004A76D4">
        <w:rPr>
          <w:rFonts w:ascii="Times New Roman" w:hAnsi="Times New Roman" w:cs="Times New Roman"/>
        </w:rPr>
        <w:t xml:space="preserve"> It considered (1) </w:t>
      </w:r>
      <w:r w:rsidR="005559B3" w:rsidRPr="004A76D4">
        <w:rPr>
          <w:rFonts w:ascii="Times New Roman" w:hAnsi="Times New Roman" w:cs="Times New Roman"/>
        </w:rPr>
        <w:t xml:space="preserve">how the statutory cause of action compares with </w:t>
      </w:r>
      <w:r w:rsidR="00C33899" w:rsidRPr="004A76D4">
        <w:rPr>
          <w:rFonts w:ascii="Times New Roman" w:hAnsi="Times New Roman" w:cs="Times New Roman"/>
        </w:rPr>
        <w:t>actions in 18</w:t>
      </w:r>
      <w:r w:rsidR="00C33899" w:rsidRPr="004A76D4">
        <w:rPr>
          <w:rFonts w:ascii="Times New Roman" w:hAnsi="Times New Roman" w:cs="Times New Roman"/>
          <w:vertAlign w:val="superscript"/>
        </w:rPr>
        <w:t>th</w:t>
      </w:r>
      <w:r w:rsidR="00C33899" w:rsidRPr="004A76D4">
        <w:rPr>
          <w:rFonts w:ascii="Times New Roman" w:hAnsi="Times New Roman" w:cs="Times New Roman"/>
        </w:rPr>
        <w:t xml:space="preserve"> Century English law courts before the merger with equity</w:t>
      </w:r>
      <w:r w:rsidR="005669FF" w:rsidRPr="004A76D4">
        <w:rPr>
          <w:rFonts w:ascii="Times New Roman" w:hAnsi="Times New Roman" w:cs="Times New Roman"/>
        </w:rPr>
        <w:t xml:space="preserve"> and (2) whether the remedy sought in the action was </w:t>
      </w:r>
      <w:r w:rsidR="00F249DA" w:rsidRPr="004A76D4">
        <w:rPr>
          <w:rFonts w:ascii="Times New Roman" w:hAnsi="Times New Roman" w:cs="Times New Roman"/>
        </w:rPr>
        <w:t xml:space="preserve">legal or equitable in nature.  </w:t>
      </w:r>
    </w:p>
    <w:p w14:paraId="5DD56CFC" w14:textId="5889F8B9" w:rsidR="00857753" w:rsidRPr="004A76D4" w:rsidRDefault="007475D8" w:rsidP="004371AB">
      <w:pPr>
        <w:rPr>
          <w:rFonts w:ascii="Times New Roman" w:hAnsi="Times New Roman" w:cs="Times New Roman"/>
        </w:rPr>
      </w:pPr>
      <w:r w:rsidRPr="004A76D4">
        <w:rPr>
          <w:rFonts w:ascii="Times New Roman" w:hAnsi="Times New Roman" w:cs="Times New Roman"/>
        </w:rPr>
        <w:t xml:space="preserve">The </w:t>
      </w:r>
      <w:r w:rsidRPr="004A76D4">
        <w:rPr>
          <w:rFonts w:ascii="Times New Roman" w:hAnsi="Times New Roman" w:cs="Times New Roman"/>
          <w:i/>
          <w:iCs/>
        </w:rPr>
        <w:t xml:space="preserve">Viking </w:t>
      </w:r>
      <w:r w:rsidRPr="004A76D4">
        <w:rPr>
          <w:rFonts w:ascii="Times New Roman" w:hAnsi="Times New Roman" w:cs="Times New Roman"/>
        </w:rPr>
        <w:t>court a</w:t>
      </w:r>
      <w:r w:rsidR="0033352D" w:rsidRPr="004A76D4">
        <w:rPr>
          <w:rFonts w:ascii="Times New Roman" w:hAnsi="Times New Roman" w:cs="Times New Roman"/>
        </w:rPr>
        <w:t xml:space="preserve">sserted that the character of the remedy was the predominating factor </w:t>
      </w:r>
      <w:r w:rsidR="00FA5F70" w:rsidRPr="004A76D4">
        <w:rPr>
          <w:rFonts w:ascii="Times New Roman" w:hAnsi="Times New Roman" w:cs="Times New Roman"/>
        </w:rPr>
        <w:t>of the two</w:t>
      </w:r>
      <w:r w:rsidR="0009687F" w:rsidRPr="004A76D4">
        <w:rPr>
          <w:rFonts w:ascii="Times New Roman" w:hAnsi="Times New Roman" w:cs="Times New Roman"/>
        </w:rPr>
        <w:t xml:space="preserve"> and </w:t>
      </w:r>
      <w:r w:rsidR="001D3EFE" w:rsidRPr="004A76D4">
        <w:rPr>
          <w:rFonts w:ascii="Times New Roman" w:hAnsi="Times New Roman" w:cs="Times New Roman"/>
        </w:rPr>
        <w:t xml:space="preserve">analyzed the two remedies sought—oil removal costs and </w:t>
      </w:r>
      <w:r w:rsidR="00403A8E" w:rsidRPr="004A76D4">
        <w:rPr>
          <w:rFonts w:ascii="Times New Roman" w:hAnsi="Times New Roman" w:cs="Times New Roman"/>
        </w:rPr>
        <w:t xml:space="preserve">natural resource damages—separately.  </w:t>
      </w:r>
      <w:r w:rsidR="00711D73" w:rsidRPr="004A76D4">
        <w:rPr>
          <w:rFonts w:ascii="Times New Roman" w:hAnsi="Times New Roman" w:cs="Times New Roman"/>
        </w:rPr>
        <w:t xml:space="preserve">The </w:t>
      </w:r>
      <w:r w:rsidR="0043609E" w:rsidRPr="004A76D4">
        <w:rPr>
          <w:rFonts w:ascii="Times New Roman" w:hAnsi="Times New Roman" w:cs="Times New Roman"/>
        </w:rPr>
        <w:t>court look</w:t>
      </w:r>
      <w:r w:rsidR="00D3215D" w:rsidRPr="004A76D4">
        <w:rPr>
          <w:rFonts w:ascii="Times New Roman" w:hAnsi="Times New Roman" w:cs="Times New Roman"/>
        </w:rPr>
        <w:t>ed</w:t>
      </w:r>
      <w:r w:rsidR="0043609E" w:rsidRPr="004A76D4">
        <w:rPr>
          <w:rFonts w:ascii="Times New Roman" w:hAnsi="Times New Roman" w:cs="Times New Roman"/>
        </w:rPr>
        <w:t xml:space="preserve"> to decisions </w:t>
      </w:r>
      <w:r w:rsidR="001C1CDF" w:rsidRPr="004A76D4">
        <w:rPr>
          <w:rFonts w:ascii="Times New Roman" w:hAnsi="Times New Roman" w:cs="Times New Roman"/>
        </w:rPr>
        <w:t xml:space="preserve">in the Third and Eighth Circuits that had concluded that </w:t>
      </w:r>
      <w:r w:rsidR="00EF2005" w:rsidRPr="004A76D4">
        <w:rPr>
          <w:rFonts w:ascii="Times New Roman" w:hAnsi="Times New Roman" w:cs="Times New Roman"/>
        </w:rPr>
        <w:t xml:space="preserve">CERCLA </w:t>
      </w:r>
      <w:r w:rsidR="009363AD" w:rsidRPr="004A76D4">
        <w:rPr>
          <w:rFonts w:ascii="Times New Roman" w:hAnsi="Times New Roman" w:cs="Times New Roman"/>
        </w:rPr>
        <w:t>response costs were a form of restitution</w:t>
      </w:r>
      <w:r w:rsidR="00B76673" w:rsidRPr="004A76D4">
        <w:rPr>
          <w:rFonts w:ascii="Times New Roman" w:hAnsi="Times New Roman" w:cs="Times New Roman"/>
        </w:rPr>
        <w:t>, an equitable remedy.</w:t>
      </w:r>
      <w:r w:rsidR="000B3692" w:rsidRPr="004A76D4">
        <w:rPr>
          <w:rFonts w:ascii="Times New Roman" w:hAnsi="Times New Roman" w:cs="Times New Roman"/>
        </w:rPr>
        <w:t xml:space="preserve">  </w:t>
      </w:r>
      <w:r w:rsidR="00B76673" w:rsidRPr="004A76D4">
        <w:rPr>
          <w:rFonts w:ascii="Times New Roman" w:hAnsi="Times New Roman" w:cs="Times New Roman"/>
        </w:rPr>
        <w:t xml:space="preserve">  Based on the close similarity </w:t>
      </w:r>
      <w:r w:rsidR="00D745DF" w:rsidRPr="004A76D4">
        <w:rPr>
          <w:rFonts w:ascii="Times New Roman" w:hAnsi="Times New Roman" w:cs="Times New Roman"/>
        </w:rPr>
        <w:t>between CERCLA response cost</w:t>
      </w:r>
      <w:r w:rsidR="00D3215D" w:rsidRPr="004A76D4">
        <w:rPr>
          <w:rFonts w:ascii="Times New Roman" w:hAnsi="Times New Roman" w:cs="Times New Roman"/>
        </w:rPr>
        <w:t>s</w:t>
      </w:r>
      <w:r w:rsidR="00D745DF" w:rsidRPr="004A76D4">
        <w:rPr>
          <w:rFonts w:ascii="Times New Roman" w:hAnsi="Times New Roman" w:cs="Times New Roman"/>
        </w:rPr>
        <w:t xml:space="preserve"> and </w:t>
      </w:r>
      <w:r w:rsidR="009363AD" w:rsidRPr="004A76D4">
        <w:rPr>
          <w:rFonts w:ascii="Times New Roman" w:hAnsi="Times New Roman" w:cs="Times New Roman"/>
        </w:rPr>
        <w:t>OPA removal costs</w:t>
      </w:r>
      <w:r w:rsidR="004371AB" w:rsidRPr="004A76D4">
        <w:rPr>
          <w:rFonts w:ascii="Times New Roman" w:hAnsi="Times New Roman" w:cs="Times New Roman"/>
        </w:rPr>
        <w:t xml:space="preserve"> and the weight of the authority under </w:t>
      </w:r>
      <w:r w:rsidR="008A6411" w:rsidRPr="004A76D4">
        <w:rPr>
          <w:rFonts w:ascii="Times New Roman" w:hAnsi="Times New Roman" w:cs="Times New Roman"/>
        </w:rPr>
        <w:t>CERCLA</w:t>
      </w:r>
      <w:r w:rsidR="004371AB" w:rsidRPr="004A76D4">
        <w:rPr>
          <w:rFonts w:ascii="Times New Roman" w:hAnsi="Times New Roman" w:cs="Times New Roman"/>
        </w:rPr>
        <w:t xml:space="preserve">, which it characterized as an </w:t>
      </w:r>
      <w:r w:rsidR="004371AB" w:rsidRPr="004A76D4">
        <w:rPr>
          <w:rFonts w:ascii="Times New Roman" w:hAnsi="Times New Roman" w:cs="Times New Roman"/>
        </w:rPr>
        <w:t>“avalanche of authority,”</w:t>
      </w:r>
      <w:r w:rsidR="004371AB" w:rsidRPr="004A76D4">
        <w:rPr>
          <w:rFonts w:ascii="Times New Roman" w:hAnsi="Times New Roman" w:cs="Times New Roman"/>
        </w:rPr>
        <w:t xml:space="preserve"> </w:t>
      </w:r>
      <w:r w:rsidR="00D745DF" w:rsidRPr="004A76D4">
        <w:rPr>
          <w:rFonts w:ascii="Times New Roman" w:hAnsi="Times New Roman" w:cs="Times New Roman"/>
        </w:rPr>
        <w:t xml:space="preserve">the </w:t>
      </w:r>
      <w:r w:rsidR="00D745DF" w:rsidRPr="004A76D4">
        <w:rPr>
          <w:rFonts w:ascii="Times New Roman" w:hAnsi="Times New Roman" w:cs="Times New Roman"/>
          <w:i/>
          <w:iCs/>
        </w:rPr>
        <w:t xml:space="preserve">Viking </w:t>
      </w:r>
      <w:r w:rsidR="00D745DF" w:rsidRPr="004A76D4">
        <w:rPr>
          <w:rFonts w:ascii="Times New Roman" w:hAnsi="Times New Roman" w:cs="Times New Roman"/>
        </w:rPr>
        <w:t xml:space="preserve">court </w:t>
      </w:r>
      <w:r w:rsidR="004371AB" w:rsidRPr="004A76D4">
        <w:rPr>
          <w:rFonts w:ascii="Times New Roman" w:hAnsi="Times New Roman" w:cs="Times New Roman"/>
        </w:rPr>
        <w:t xml:space="preserve">concluded that </w:t>
      </w:r>
      <w:r w:rsidR="00C331EB" w:rsidRPr="004A76D4">
        <w:rPr>
          <w:rFonts w:ascii="Times New Roman" w:hAnsi="Times New Roman" w:cs="Times New Roman"/>
        </w:rPr>
        <w:t xml:space="preserve">oil removal costs too were </w:t>
      </w:r>
      <w:proofErr w:type="spellStart"/>
      <w:r w:rsidR="00C331EB" w:rsidRPr="004A76D4">
        <w:rPr>
          <w:rFonts w:ascii="Times New Roman" w:hAnsi="Times New Roman" w:cs="Times New Roman"/>
        </w:rPr>
        <w:t>restitutionary</w:t>
      </w:r>
      <w:proofErr w:type="spellEnd"/>
      <w:r w:rsidR="00C331EB" w:rsidRPr="004A76D4">
        <w:rPr>
          <w:rFonts w:ascii="Times New Roman" w:hAnsi="Times New Roman" w:cs="Times New Roman"/>
        </w:rPr>
        <w:t xml:space="preserve"> in </w:t>
      </w:r>
      <w:r w:rsidR="00CC0140" w:rsidRPr="004A76D4">
        <w:rPr>
          <w:rFonts w:ascii="Times New Roman" w:hAnsi="Times New Roman" w:cs="Times New Roman"/>
        </w:rPr>
        <w:t>nature</w:t>
      </w:r>
      <w:r w:rsidR="00C331EB" w:rsidRPr="004A76D4">
        <w:rPr>
          <w:rFonts w:ascii="Times New Roman" w:hAnsi="Times New Roman" w:cs="Times New Roman"/>
        </w:rPr>
        <w:t xml:space="preserve"> and, therefore, </w:t>
      </w:r>
      <w:r w:rsidR="00CC0140" w:rsidRPr="004A76D4">
        <w:rPr>
          <w:rFonts w:ascii="Times New Roman" w:hAnsi="Times New Roman" w:cs="Times New Roman"/>
        </w:rPr>
        <w:t>an equitable remedy.</w:t>
      </w:r>
      <w:r w:rsidR="00CC0140" w:rsidRPr="004A76D4">
        <w:rPr>
          <w:rStyle w:val="FootnoteReference"/>
          <w:rFonts w:ascii="Times New Roman" w:hAnsi="Times New Roman" w:cs="Times New Roman"/>
        </w:rPr>
        <w:footnoteReference w:id="9"/>
      </w:r>
    </w:p>
    <w:p w14:paraId="5FC2E36D" w14:textId="700218B7" w:rsidR="00857753" w:rsidRPr="004A76D4" w:rsidRDefault="00712864" w:rsidP="00857753">
      <w:pPr>
        <w:rPr>
          <w:rFonts w:ascii="Times New Roman" w:hAnsi="Times New Roman" w:cs="Times New Roman"/>
        </w:rPr>
      </w:pPr>
      <w:r w:rsidRPr="004A76D4">
        <w:rPr>
          <w:rFonts w:ascii="Times New Roman" w:hAnsi="Times New Roman" w:cs="Times New Roman"/>
        </w:rPr>
        <w:t xml:space="preserve">The court also found a close similarity between OPA natural resource damages </w:t>
      </w:r>
      <w:r w:rsidR="00F370FA" w:rsidRPr="004A76D4">
        <w:rPr>
          <w:rFonts w:ascii="Times New Roman" w:hAnsi="Times New Roman" w:cs="Times New Roman"/>
        </w:rPr>
        <w:t xml:space="preserve">(NRD) </w:t>
      </w:r>
      <w:r w:rsidRPr="004A76D4">
        <w:rPr>
          <w:rFonts w:ascii="Times New Roman" w:hAnsi="Times New Roman" w:cs="Times New Roman"/>
        </w:rPr>
        <w:t xml:space="preserve">and </w:t>
      </w:r>
      <w:r w:rsidR="00FE172F" w:rsidRPr="004A76D4">
        <w:rPr>
          <w:rFonts w:ascii="Times New Roman" w:hAnsi="Times New Roman" w:cs="Times New Roman"/>
        </w:rPr>
        <w:t>those under CERCLA.</w:t>
      </w:r>
      <w:r w:rsidR="00F370FA" w:rsidRPr="004A76D4">
        <w:rPr>
          <w:rFonts w:ascii="Times New Roman" w:hAnsi="Times New Roman" w:cs="Times New Roman"/>
        </w:rPr>
        <w:t xml:space="preserve">  Precedent on the character of NRD under CERCLA </w:t>
      </w:r>
      <w:r w:rsidR="007A2ABE" w:rsidRPr="004A76D4">
        <w:rPr>
          <w:rFonts w:ascii="Times New Roman" w:hAnsi="Times New Roman" w:cs="Times New Roman"/>
        </w:rPr>
        <w:t xml:space="preserve">was less unanimous.  In </w:t>
      </w:r>
      <w:r w:rsidR="007347BD" w:rsidRPr="004A76D4">
        <w:rPr>
          <w:rFonts w:ascii="Times New Roman" w:hAnsi="Times New Roman" w:cs="Times New Roman"/>
        </w:rPr>
        <w:t xml:space="preserve">some cases courts had held that NRD are also a form of restitution, while in others </w:t>
      </w:r>
      <w:r w:rsidR="00A00833" w:rsidRPr="004A76D4">
        <w:rPr>
          <w:rFonts w:ascii="Times New Roman" w:hAnsi="Times New Roman" w:cs="Times New Roman"/>
        </w:rPr>
        <w:t>they were held to be a form of</w:t>
      </w:r>
      <w:r w:rsidR="00940302" w:rsidRPr="004A76D4">
        <w:rPr>
          <w:rFonts w:ascii="Times New Roman" w:hAnsi="Times New Roman" w:cs="Times New Roman"/>
        </w:rPr>
        <w:t xml:space="preserve"> </w:t>
      </w:r>
      <w:r w:rsidR="00A00833" w:rsidRPr="004A76D4">
        <w:rPr>
          <w:rFonts w:ascii="Times New Roman" w:hAnsi="Times New Roman" w:cs="Times New Roman"/>
        </w:rPr>
        <w:t>money damages recoverable in tort for injury to property under nuisance or trespass theor</w:t>
      </w:r>
      <w:r w:rsidR="00F20208" w:rsidRPr="004A76D4">
        <w:rPr>
          <w:rFonts w:ascii="Times New Roman" w:hAnsi="Times New Roman" w:cs="Times New Roman"/>
        </w:rPr>
        <w:t>ies.</w:t>
      </w:r>
      <w:r w:rsidR="00940302" w:rsidRPr="004A76D4">
        <w:rPr>
          <w:rFonts w:ascii="Times New Roman" w:hAnsi="Times New Roman" w:cs="Times New Roman"/>
        </w:rPr>
        <w:t xml:space="preserve">  Noting that OPA NRD </w:t>
      </w:r>
      <w:r w:rsidR="001742CE" w:rsidRPr="004A76D4">
        <w:rPr>
          <w:rFonts w:ascii="Times New Roman" w:hAnsi="Times New Roman" w:cs="Times New Roman"/>
        </w:rPr>
        <w:t xml:space="preserve">includes </w:t>
      </w:r>
      <w:r w:rsidR="00264F3D" w:rsidRPr="004A76D4">
        <w:rPr>
          <w:rFonts w:ascii="Times New Roman" w:hAnsi="Times New Roman" w:cs="Times New Roman"/>
        </w:rPr>
        <w:t xml:space="preserve">a variety of costs, all slightly different in </w:t>
      </w:r>
      <w:r w:rsidR="00103E95" w:rsidRPr="004A76D4">
        <w:rPr>
          <w:rFonts w:ascii="Times New Roman" w:hAnsi="Times New Roman" w:cs="Times New Roman"/>
        </w:rPr>
        <w:t>character as legal or equitable, the court concluded that at least one</w:t>
      </w:r>
      <w:r w:rsidR="00900568" w:rsidRPr="004A76D4">
        <w:rPr>
          <w:rFonts w:ascii="Times New Roman" w:hAnsi="Times New Roman" w:cs="Times New Roman"/>
        </w:rPr>
        <w:t>—</w:t>
      </w:r>
      <w:r w:rsidR="00B16840" w:rsidRPr="004A76D4">
        <w:rPr>
          <w:rFonts w:ascii="Times New Roman" w:hAnsi="Times New Roman" w:cs="Times New Roman"/>
        </w:rPr>
        <w:t>money damages for</w:t>
      </w:r>
      <w:r w:rsidR="00931AA0" w:rsidRPr="004A76D4">
        <w:rPr>
          <w:rFonts w:ascii="Times New Roman" w:hAnsi="Times New Roman" w:cs="Times New Roman"/>
        </w:rPr>
        <w:t xml:space="preserve"> l</w:t>
      </w:r>
      <w:r w:rsidR="00697157" w:rsidRPr="004A76D4">
        <w:rPr>
          <w:rFonts w:ascii="Times New Roman" w:hAnsi="Times New Roman" w:cs="Times New Roman"/>
        </w:rPr>
        <w:t>o</w:t>
      </w:r>
      <w:r w:rsidR="00931AA0" w:rsidRPr="004A76D4">
        <w:rPr>
          <w:rFonts w:ascii="Times New Roman" w:hAnsi="Times New Roman" w:cs="Times New Roman"/>
        </w:rPr>
        <w:t xml:space="preserve">st value of the natural resources </w:t>
      </w:r>
      <w:r w:rsidR="00697157" w:rsidRPr="004A76D4">
        <w:rPr>
          <w:rFonts w:ascii="Times New Roman" w:hAnsi="Times New Roman" w:cs="Times New Roman"/>
        </w:rPr>
        <w:t>until they could be restored</w:t>
      </w:r>
      <w:r w:rsidR="00B16840" w:rsidRPr="004A76D4">
        <w:rPr>
          <w:rFonts w:ascii="Times New Roman" w:hAnsi="Times New Roman" w:cs="Times New Roman"/>
        </w:rPr>
        <w:t>—was a legal remedy.</w:t>
      </w:r>
      <w:r w:rsidR="000D5C76" w:rsidRPr="004A76D4">
        <w:rPr>
          <w:rFonts w:ascii="Times New Roman" w:hAnsi="Times New Roman" w:cs="Times New Roman"/>
        </w:rPr>
        <w:t xml:space="preserve">  </w:t>
      </w:r>
      <w:r w:rsidR="002E5B6A" w:rsidRPr="004A76D4">
        <w:rPr>
          <w:rFonts w:ascii="Times New Roman" w:hAnsi="Times New Roman" w:cs="Times New Roman"/>
        </w:rPr>
        <w:t>Consequently</w:t>
      </w:r>
      <w:r w:rsidR="003D5DFA" w:rsidRPr="004A76D4">
        <w:rPr>
          <w:rFonts w:ascii="Times New Roman" w:hAnsi="Times New Roman" w:cs="Times New Roman"/>
        </w:rPr>
        <w:t xml:space="preserve">, </w:t>
      </w:r>
      <w:r w:rsidR="00A3308B" w:rsidRPr="004A76D4">
        <w:rPr>
          <w:rFonts w:ascii="Times New Roman" w:hAnsi="Times New Roman" w:cs="Times New Roman"/>
        </w:rPr>
        <w:t>NRD</w:t>
      </w:r>
      <w:r w:rsidR="003D5DFA" w:rsidRPr="004A76D4">
        <w:rPr>
          <w:rFonts w:ascii="Times New Roman" w:hAnsi="Times New Roman" w:cs="Times New Roman"/>
        </w:rPr>
        <w:t xml:space="preserve">, in contrast to oil recover </w:t>
      </w:r>
      <w:proofErr w:type="gramStart"/>
      <w:r w:rsidR="003D5DFA" w:rsidRPr="004A76D4">
        <w:rPr>
          <w:rFonts w:ascii="Times New Roman" w:hAnsi="Times New Roman" w:cs="Times New Roman"/>
        </w:rPr>
        <w:t xml:space="preserve">costs, </w:t>
      </w:r>
      <w:r w:rsidR="00A3308B" w:rsidRPr="004A76D4">
        <w:rPr>
          <w:rFonts w:ascii="Times New Roman" w:hAnsi="Times New Roman" w:cs="Times New Roman"/>
        </w:rPr>
        <w:t xml:space="preserve"> </w:t>
      </w:r>
      <w:r w:rsidR="000D079E" w:rsidRPr="004A76D4">
        <w:rPr>
          <w:rFonts w:ascii="Times New Roman" w:hAnsi="Times New Roman" w:cs="Times New Roman"/>
        </w:rPr>
        <w:t>was</w:t>
      </w:r>
      <w:proofErr w:type="gramEnd"/>
      <w:r w:rsidR="000D079E" w:rsidRPr="004A76D4">
        <w:rPr>
          <w:rFonts w:ascii="Times New Roman" w:hAnsi="Times New Roman" w:cs="Times New Roman"/>
        </w:rPr>
        <w:t xml:space="preserve"> subject to the Seventh Amendment </w:t>
      </w:r>
      <w:r w:rsidR="003D5DFA" w:rsidRPr="004A76D4">
        <w:rPr>
          <w:rFonts w:ascii="Times New Roman" w:hAnsi="Times New Roman" w:cs="Times New Roman"/>
        </w:rPr>
        <w:t xml:space="preserve">jury </w:t>
      </w:r>
      <w:r w:rsidR="000D079E" w:rsidRPr="004A76D4">
        <w:rPr>
          <w:rFonts w:ascii="Times New Roman" w:hAnsi="Times New Roman" w:cs="Times New Roman"/>
        </w:rPr>
        <w:t>right.</w:t>
      </w:r>
    </w:p>
    <w:p w14:paraId="314E7AA1" w14:textId="7FA5CFF5" w:rsidR="00060713" w:rsidRPr="004A76D4" w:rsidRDefault="00BC442F" w:rsidP="00857753">
      <w:pPr>
        <w:rPr>
          <w:rFonts w:ascii="Times New Roman" w:hAnsi="Times New Roman" w:cs="Times New Roman"/>
        </w:rPr>
      </w:pPr>
      <w:r w:rsidRPr="004A76D4">
        <w:rPr>
          <w:rFonts w:ascii="Times New Roman" w:hAnsi="Times New Roman" w:cs="Times New Roman"/>
        </w:rPr>
        <w:t xml:space="preserve">The defendants in </w:t>
      </w:r>
      <w:r w:rsidRPr="004A76D4">
        <w:rPr>
          <w:rFonts w:ascii="Times New Roman" w:hAnsi="Times New Roman" w:cs="Times New Roman"/>
          <w:i/>
          <w:iCs/>
        </w:rPr>
        <w:t>Viking</w:t>
      </w:r>
      <w:r w:rsidRPr="004A76D4">
        <w:rPr>
          <w:rFonts w:ascii="Times New Roman" w:hAnsi="Times New Roman" w:cs="Times New Roman"/>
        </w:rPr>
        <w:t xml:space="preserve"> had also moved for a bifurcated trial</w:t>
      </w:r>
      <w:r w:rsidR="00B86FB9" w:rsidRPr="004A76D4">
        <w:rPr>
          <w:rFonts w:ascii="Times New Roman" w:hAnsi="Times New Roman" w:cs="Times New Roman"/>
        </w:rPr>
        <w:t xml:space="preserve"> a request</w:t>
      </w:r>
      <w:r w:rsidR="003D5DFA" w:rsidRPr="004A76D4">
        <w:rPr>
          <w:rFonts w:ascii="Times New Roman" w:hAnsi="Times New Roman" w:cs="Times New Roman"/>
        </w:rPr>
        <w:t>. The Court</w:t>
      </w:r>
      <w:r w:rsidR="00B86FB9" w:rsidRPr="004A76D4">
        <w:rPr>
          <w:rFonts w:ascii="Times New Roman" w:hAnsi="Times New Roman" w:cs="Times New Roman"/>
        </w:rPr>
        <w:t xml:space="preserve"> denied the </w:t>
      </w:r>
      <w:r w:rsidR="003D5DFA" w:rsidRPr="004A76D4">
        <w:rPr>
          <w:rFonts w:ascii="Times New Roman" w:hAnsi="Times New Roman" w:cs="Times New Roman"/>
        </w:rPr>
        <w:t xml:space="preserve">request </w:t>
      </w:r>
      <w:r w:rsidR="00B86FB9" w:rsidRPr="004A76D4">
        <w:rPr>
          <w:rFonts w:ascii="Times New Roman" w:hAnsi="Times New Roman" w:cs="Times New Roman"/>
        </w:rPr>
        <w:t xml:space="preserve">on the grounds that doing so would require </w:t>
      </w:r>
      <w:r w:rsidR="00183186" w:rsidRPr="004A76D4">
        <w:rPr>
          <w:rFonts w:ascii="Times New Roman" w:hAnsi="Times New Roman" w:cs="Times New Roman"/>
        </w:rPr>
        <w:t>two juries</w:t>
      </w:r>
      <w:r w:rsidR="0070358A" w:rsidRPr="004A76D4">
        <w:rPr>
          <w:rFonts w:ascii="Times New Roman" w:hAnsi="Times New Roman" w:cs="Times New Roman"/>
        </w:rPr>
        <w:t xml:space="preserve"> in the</w:t>
      </w:r>
      <w:r w:rsidR="003D5DFA" w:rsidRPr="004A76D4">
        <w:rPr>
          <w:rFonts w:ascii="Times New Roman" w:hAnsi="Times New Roman" w:cs="Times New Roman"/>
        </w:rPr>
        <w:t>se</w:t>
      </w:r>
      <w:r w:rsidR="0070358A" w:rsidRPr="004A76D4">
        <w:rPr>
          <w:rFonts w:ascii="Times New Roman" w:hAnsi="Times New Roman" w:cs="Times New Roman"/>
        </w:rPr>
        <w:t xml:space="preserve"> circumstances and would not be consistent with </w:t>
      </w:r>
      <w:r w:rsidR="006E6AE3" w:rsidRPr="004A76D4">
        <w:rPr>
          <w:rFonts w:ascii="Times New Roman" w:hAnsi="Times New Roman" w:cs="Times New Roman"/>
        </w:rPr>
        <w:t>the reasons for ord</w:t>
      </w:r>
      <w:r w:rsidR="00E41EE6" w:rsidRPr="004A76D4">
        <w:rPr>
          <w:rFonts w:ascii="Times New Roman" w:hAnsi="Times New Roman" w:cs="Times New Roman"/>
        </w:rPr>
        <w:t>er</w:t>
      </w:r>
      <w:r w:rsidR="006E6AE3" w:rsidRPr="004A76D4">
        <w:rPr>
          <w:rFonts w:ascii="Times New Roman" w:hAnsi="Times New Roman" w:cs="Times New Roman"/>
        </w:rPr>
        <w:t>ing bifurcation under F.R.C.P. 42.</w:t>
      </w:r>
    </w:p>
    <w:p w14:paraId="78E321DA" w14:textId="01D0BFC4" w:rsidR="00053EAE" w:rsidRPr="004A76D4" w:rsidRDefault="00185A45" w:rsidP="00AE7127">
      <w:pPr>
        <w:rPr>
          <w:rFonts w:ascii="Times New Roman" w:hAnsi="Times New Roman" w:cs="Times New Roman"/>
        </w:rPr>
      </w:pPr>
      <w:r w:rsidRPr="004A76D4">
        <w:rPr>
          <w:rFonts w:ascii="Times New Roman" w:hAnsi="Times New Roman" w:cs="Times New Roman"/>
          <w:b/>
          <w:bCs/>
        </w:rPr>
        <w:t xml:space="preserve">Seventh Amendment analysis in </w:t>
      </w:r>
      <w:proofErr w:type="gramStart"/>
      <w:r w:rsidRPr="004A76D4">
        <w:rPr>
          <w:rFonts w:ascii="Times New Roman" w:hAnsi="Times New Roman" w:cs="Times New Roman"/>
          <w:b/>
          <w:bCs/>
          <w:i/>
          <w:iCs/>
        </w:rPr>
        <w:t>In</w:t>
      </w:r>
      <w:proofErr w:type="gramEnd"/>
      <w:r w:rsidRPr="004A76D4">
        <w:rPr>
          <w:rFonts w:ascii="Times New Roman" w:hAnsi="Times New Roman" w:cs="Times New Roman"/>
          <w:b/>
          <w:bCs/>
          <w:i/>
          <w:iCs/>
        </w:rPr>
        <w:t xml:space="preserve"> re Deepwater Horizon</w:t>
      </w:r>
      <w:r w:rsidRPr="004A76D4">
        <w:rPr>
          <w:rFonts w:ascii="Times New Roman" w:hAnsi="Times New Roman" w:cs="Times New Roman"/>
        </w:rPr>
        <w:t>.</w:t>
      </w:r>
    </w:p>
    <w:p w14:paraId="6DA45313" w14:textId="5D25CFD3" w:rsidR="00B633DF" w:rsidRPr="004A76D4" w:rsidRDefault="00B4581B" w:rsidP="00AE7127">
      <w:pPr>
        <w:rPr>
          <w:rFonts w:ascii="Times New Roman" w:hAnsi="Times New Roman" w:cs="Times New Roman"/>
        </w:rPr>
      </w:pPr>
      <w:r w:rsidRPr="004A76D4">
        <w:rPr>
          <w:rFonts w:ascii="Times New Roman" w:hAnsi="Times New Roman" w:cs="Times New Roman"/>
        </w:rPr>
        <w:t xml:space="preserve">Litigation </w:t>
      </w:r>
      <w:r w:rsidR="00883720" w:rsidRPr="004A76D4">
        <w:rPr>
          <w:rFonts w:ascii="Times New Roman" w:hAnsi="Times New Roman" w:cs="Times New Roman"/>
        </w:rPr>
        <w:t xml:space="preserve">following the Deepwater Horizon incident </w:t>
      </w:r>
      <w:r w:rsidR="004B1F30" w:rsidRPr="004A76D4">
        <w:rPr>
          <w:rFonts w:ascii="Times New Roman" w:hAnsi="Times New Roman" w:cs="Times New Roman"/>
        </w:rPr>
        <w:t xml:space="preserve">presented an opportunity for the </w:t>
      </w:r>
      <w:r w:rsidR="00526DBB" w:rsidRPr="004A76D4">
        <w:rPr>
          <w:rFonts w:ascii="Times New Roman" w:hAnsi="Times New Roman" w:cs="Times New Roman"/>
        </w:rPr>
        <w:t xml:space="preserve">Seven Amendment </w:t>
      </w:r>
      <w:r w:rsidR="004B1F30" w:rsidRPr="004A76D4">
        <w:rPr>
          <w:rFonts w:ascii="Times New Roman" w:hAnsi="Times New Roman" w:cs="Times New Roman"/>
        </w:rPr>
        <w:t xml:space="preserve">issue to be considered by the Eastern District of Louisiana, this time in a case </w:t>
      </w:r>
      <w:r w:rsidR="009F5783" w:rsidRPr="004A76D4">
        <w:rPr>
          <w:rFonts w:ascii="Times New Roman" w:hAnsi="Times New Roman" w:cs="Times New Roman"/>
        </w:rPr>
        <w:t xml:space="preserve">involving a </w:t>
      </w:r>
      <w:r w:rsidR="00D77178" w:rsidRPr="004A76D4">
        <w:rPr>
          <w:rFonts w:ascii="Times New Roman" w:hAnsi="Times New Roman" w:cs="Times New Roman"/>
        </w:rPr>
        <w:t>vessel</w:t>
      </w:r>
      <w:r w:rsidR="009F5783" w:rsidRPr="004A76D4">
        <w:rPr>
          <w:rFonts w:ascii="Times New Roman" w:hAnsi="Times New Roman" w:cs="Times New Roman"/>
        </w:rPr>
        <w:t xml:space="preserve"> </w:t>
      </w:r>
      <w:r w:rsidR="00CE29AE" w:rsidRPr="004A76D4">
        <w:rPr>
          <w:rFonts w:ascii="Times New Roman" w:hAnsi="Times New Roman" w:cs="Times New Roman"/>
        </w:rPr>
        <w:t xml:space="preserve">and </w:t>
      </w:r>
      <w:r w:rsidR="009F5783" w:rsidRPr="004A76D4">
        <w:rPr>
          <w:rFonts w:ascii="Times New Roman" w:hAnsi="Times New Roman" w:cs="Times New Roman"/>
        </w:rPr>
        <w:t>admiralty jurisdiction.</w:t>
      </w:r>
      <w:r w:rsidR="00D46A6A" w:rsidRPr="004A76D4">
        <w:rPr>
          <w:rFonts w:ascii="Times New Roman" w:hAnsi="Times New Roman" w:cs="Times New Roman"/>
        </w:rPr>
        <w:t xml:space="preserve">  </w:t>
      </w:r>
      <w:r w:rsidR="0063717B" w:rsidRPr="004A76D4">
        <w:rPr>
          <w:rFonts w:ascii="Times New Roman" w:hAnsi="Times New Roman" w:cs="Times New Roman"/>
        </w:rPr>
        <w:t xml:space="preserve">The availability </w:t>
      </w:r>
      <w:r w:rsidR="00C056BE" w:rsidRPr="004A76D4">
        <w:rPr>
          <w:rFonts w:ascii="Times New Roman" w:hAnsi="Times New Roman" w:cs="Times New Roman"/>
        </w:rPr>
        <w:t>of a jury trial in</w:t>
      </w:r>
      <w:r w:rsidR="00D46A6A" w:rsidRPr="004A76D4">
        <w:rPr>
          <w:rFonts w:ascii="Times New Roman" w:hAnsi="Times New Roman" w:cs="Times New Roman"/>
        </w:rPr>
        <w:t xml:space="preserve"> the </w:t>
      </w:r>
      <w:r w:rsidR="00D46A6A" w:rsidRPr="004A76D4">
        <w:rPr>
          <w:rFonts w:ascii="Times New Roman" w:hAnsi="Times New Roman" w:cs="Times New Roman"/>
          <w:i/>
          <w:iCs/>
        </w:rPr>
        <w:t xml:space="preserve">Deepwater Horizon </w:t>
      </w:r>
      <w:r w:rsidR="00D46A6A" w:rsidRPr="004A76D4">
        <w:rPr>
          <w:rFonts w:ascii="Times New Roman" w:hAnsi="Times New Roman" w:cs="Times New Roman"/>
        </w:rPr>
        <w:t>case</w:t>
      </w:r>
      <w:r w:rsidR="00C056BE" w:rsidRPr="004A76D4">
        <w:rPr>
          <w:rFonts w:ascii="Times New Roman" w:hAnsi="Times New Roman" w:cs="Times New Roman"/>
        </w:rPr>
        <w:t xml:space="preserve"> </w:t>
      </w:r>
      <w:r w:rsidR="00114FFD" w:rsidRPr="004A76D4">
        <w:rPr>
          <w:rFonts w:ascii="Times New Roman" w:hAnsi="Times New Roman" w:cs="Times New Roman"/>
        </w:rPr>
        <w:t xml:space="preserve">was raised by the state of Alabama </w:t>
      </w:r>
      <w:r w:rsidR="001554EC" w:rsidRPr="004A76D4">
        <w:rPr>
          <w:rFonts w:ascii="Times New Roman" w:hAnsi="Times New Roman" w:cs="Times New Roman"/>
        </w:rPr>
        <w:t xml:space="preserve">in </w:t>
      </w:r>
      <w:r w:rsidR="00526DBB" w:rsidRPr="004A76D4">
        <w:rPr>
          <w:rFonts w:ascii="Times New Roman" w:hAnsi="Times New Roman" w:cs="Times New Roman"/>
        </w:rPr>
        <w:t>its</w:t>
      </w:r>
      <w:r w:rsidR="001554EC" w:rsidRPr="004A76D4">
        <w:rPr>
          <w:rFonts w:ascii="Times New Roman" w:hAnsi="Times New Roman" w:cs="Times New Roman"/>
        </w:rPr>
        <w:t xml:space="preserve"> amended complaint. </w:t>
      </w:r>
      <w:r w:rsidR="00D06FAD" w:rsidRPr="004A76D4">
        <w:rPr>
          <w:rFonts w:ascii="Times New Roman" w:hAnsi="Times New Roman" w:cs="Times New Roman"/>
        </w:rPr>
        <w:t xml:space="preserve"> </w:t>
      </w:r>
      <w:r w:rsidR="00446FF3" w:rsidRPr="004A76D4">
        <w:rPr>
          <w:rFonts w:ascii="Times New Roman" w:hAnsi="Times New Roman" w:cs="Times New Roman"/>
        </w:rPr>
        <w:t>The litigation was multi-phase</w:t>
      </w:r>
      <w:r w:rsidR="00534164" w:rsidRPr="004A76D4">
        <w:rPr>
          <w:rFonts w:ascii="Times New Roman" w:hAnsi="Times New Roman" w:cs="Times New Roman"/>
        </w:rPr>
        <w:t xml:space="preserve">: Phase One being a bench trial on Limitation of </w:t>
      </w:r>
      <w:r w:rsidR="003878BB" w:rsidRPr="004A76D4">
        <w:rPr>
          <w:rFonts w:ascii="Times New Roman" w:hAnsi="Times New Roman" w:cs="Times New Roman"/>
        </w:rPr>
        <w:t xml:space="preserve">Liability.  </w:t>
      </w:r>
      <w:r w:rsidR="002751BA" w:rsidRPr="004A76D4">
        <w:rPr>
          <w:rFonts w:ascii="Times New Roman" w:hAnsi="Times New Roman" w:cs="Times New Roman"/>
        </w:rPr>
        <w:t>The Court then scheduled a trial to hear Ala</w:t>
      </w:r>
      <w:r w:rsidR="00265D33" w:rsidRPr="004A76D4">
        <w:rPr>
          <w:rFonts w:ascii="Times New Roman" w:hAnsi="Times New Roman" w:cs="Times New Roman"/>
        </w:rPr>
        <w:t xml:space="preserve">bama’s claims against BP for oil removal costs and NRD.  </w:t>
      </w:r>
    </w:p>
    <w:p w14:paraId="1517D254" w14:textId="100877C7" w:rsidR="00B4581B" w:rsidRPr="004A76D4" w:rsidRDefault="008E07D8" w:rsidP="00AE7127">
      <w:pPr>
        <w:rPr>
          <w:rFonts w:ascii="Times New Roman" w:hAnsi="Times New Roman" w:cs="Times New Roman"/>
        </w:rPr>
      </w:pPr>
      <w:r w:rsidRPr="004A76D4">
        <w:rPr>
          <w:rFonts w:ascii="Times New Roman" w:hAnsi="Times New Roman" w:cs="Times New Roman"/>
        </w:rPr>
        <w:t>In moving against the jury trial request,</w:t>
      </w:r>
      <w:r w:rsidR="00D46A6A" w:rsidRPr="004A76D4">
        <w:rPr>
          <w:rFonts w:ascii="Times New Roman" w:hAnsi="Times New Roman" w:cs="Times New Roman"/>
        </w:rPr>
        <w:t xml:space="preserve"> BP argued </w:t>
      </w:r>
      <w:r w:rsidR="00FF4354" w:rsidRPr="004A76D4">
        <w:rPr>
          <w:rFonts w:ascii="Times New Roman" w:hAnsi="Times New Roman" w:cs="Times New Roman"/>
        </w:rPr>
        <w:t xml:space="preserve">that </w:t>
      </w:r>
      <w:r w:rsidRPr="004A76D4">
        <w:rPr>
          <w:rFonts w:ascii="Times New Roman" w:hAnsi="Times New Roman" w:cs="Times New Roman"/>
        </w:rPr>
        <w:t xml:space="preserve">OPA </w:t>
      </w:r>
      <w:r w:rsidR="0038590C" w:rsidRPr="004A76D4">
        <w:rPr>
          <w:rFonts w:ascii="Times New Roman" w:hAnsi="Times New Roman" w:cs="Times New Roman"/>
        </w:rPr>
        <w:t xml:space="preserve">was an admiralty statute and as such </w:t>
      </w:r>
      <w:r w:rsidR="00E74410" w:rsidRPr="004A76D4">
        <w:rPr>
          <w:rFonts w:ascii="Times New Roman" w:hAnsi="Times New Roman" w:cs="Times New Roman"/>
        </w:rPr>
        <w:t>did not provide a right to jury trial.</w:t>
      </w:r>
      <w:r w:rsidR="00B633DF" w:rsidRPr="004A76D4">
        <w:rPr>
          <w:rFonts w:ascii="Times New Roman" w:hAnsi="Times New Roman" w:cs="Times New Roman"/>
        </w:rPr>
        <w:t xml:space="preserve">  The court rejected this </w:t>
      </w:r>
      <w:r w:rsidR="00BB0D43" w:rsidRPr="004A76D4">
        <w:rPr>
          <w:rFonts w:ascii="Times New Roman" w:hAnsi="Times New Roman" w:cs="Times New Roman"/>
        </w:rPr>
        <w:t>argument</w:t>
      </w:r>
      <w:r w:rsidR="00B633DF" w:rsidRPr="004A76D4">
        <w:rPr>
          <w:rFonts w:ascii="Times New Roman" w:hAnsi="Times New Roman" w:cs="Times New Roman"/>
        </w:rPr>
        <w:t xml:space="preserve"> based on </w:t>
      </w:r>
      <w:r w:rsidR="005E0116" w:rsidRPr="004A76D4">
        <w:rPr>
          <w:rFonts w:ascii="Times New Roman" w:hAnsi="Times New Roman" w:cs="Times New Roman"/>
        </w:rPr>
        <w:t xml:space="preserve">the absence of any reference to admiralty in the jurisdictional section of </w:t>
      </w:r>
      <w:r w:rsidR="00030889" w:rsidRPr="004A76D4">
        <w:rPr>
          <w:rFonts w:ascii="Times New Roman" w:hAnsi="Times New Roman" w:cs="Times New Roman"/>
        </w:rPr>
        <w:t>OPA</w:t>
      </w:r>
      <w:r w:rsidR="002013FB" w:rsidRPr="004A76D4">
        <w:rPr>
          <w:rFonts w:ascii="Times New Roman" w:hAnsi="Times New Roman" w:cs="Times New Roman"/>
        </w:rPr>
        <w:t xml:space="preserve">, with a </w:t>
      </w:r>
      <w:r w:rsidR="00EA3C64" w:rsidRPr="004A76D4">
        <w:rPr>
          <w:rFonts w:ascii="Times New Roman" w:hAnsi="Times New Roman" w:cs="Times New Roman"/>
        </w:rPr>
        <w:t xml:space="preserve">footnoted </w:t>
      </w:r>
      <w:r w:rsidR="002013FB" w:rsidRPr="004A76D4">
        <w:rPr>
          <w:rFonts w:ascii="Times New Roman" w:hAnsi="Times New Roman" w:cs="Times New Roman"/>
        </w:rPr>
        <w:t xml:space="preserve">qualification: </w:t>
      </w:r>
    </w:p>
    <w:p w14:paraId="5CD17F34" w14:textId="2DA6C2DB" w:rsidR="00EA3C64" w:rsidRPr="004A76D4" w:rsidRDefault="00EA3C64" w:rsidP="00EA3C64">
      <w:pPr>
        <w:ind w:left="720" w:right="720"/>
        <w:jc w:val="both"/>
        <w:rPr>
          <w:rFonts w:ascii="Times New Roman" w:hAnsi="Times New Roman" w:cs="Times New Roman"/>
        </w:rPr>
      </w:pPr>
      <w:r w:rsidRPr="004A76D4">
        <w:rPr>
          <w:rFonts w:ascii="Times New Roman" w:hAnsi="Times New Roman" w:cs="Times New Roman"/>
        </w:rPr>
        <w:t xml:space="preserve">the conclusion that OPA creates federal question jurisdiction independent of admiralty or diversity jurisdiction does not mean that a claim under OPA is exclusively within federal question jurisdiction. As a final note, the Court makes clear that the present discussion </w:t>
      </w:r>
      <w:r w:rsidRPr="004A76D4">
        <w:rPr>
          <w:rFonts w:ascii="Times New Roman" w:hAnsi="Times New Roman" w:cs="Times New Roman"/>
        </w:rPr>
        <w:lastRenderedPageBreak/>
        <w:t>concerns jurisdiction and the related right vel non to a jury, not the substantive law that will apply to a case or claim, conflicts of law, preemption., displacement, etc. These are separate issues that may or may not depend on jurisdiction.</w:t>
      </w:r>
      <w:r w:rsidRPr="004A76D4">
        <w:rPr>
          <w:rStyle w:val="FootnoteReference"/>
          <w:rFonts w:ascii="Times New Roman" w:hAnsi="Times New Roman" w:cs="Times New Roman"/>
        </w:rPr>
        <w:footnoteReference w:id="10"/>
      </w:r>
    </w:p>
    <w:p w14:paraId="3354FE97" w14:textId="3674139B" w:rsidR="00327F62" w:rsidRPr="004A76D4" w:rsidRDefault="00290D8C" w:rsidP="00327F62">
      <w:pPr>
        <w:rPr>
          <w:rFonts w:ascii="Times New Roman" w:hAnsi="Times New Roman" w:cs="Times New Roman"/>
        </w:rPr>
      </w:pPr>
      <w:r w:rsidRPr="004A76D4">
        <w:rPr>
          <w:rFonts w:ascii="Times New Roman" w:hAnsi="Times New Roman" w:cs="Times New Roman"/>
        </w:rPr>
        <w:t xml:space="preserve">The </w:t>
      </w:r>
      <w:r w:rsidR="0019537F" w:rsidRPr="004A76D4">
        <w:rPr>
          <w:rFonts w:ascii="Times New Roman" w:hAnsi="Times New Roman" w:cs="Times New Roman"/>
        </w:rPr>
        <w:t xml:space="preserve">court then considered the issue under the Seventh Amendment. </w:t>
      </w:r>
      <w:r w:rsidR="004E17AE" w:rsidRPr="004A76D4">
        <w:rPr>
          <w:rFonts w:ascii="Times New Roman" w:hAnsi="Times New Roman" w:cs="Times New Roman"/>
        </w:rPr>
        <w:t xml:space="preserve"> Like the </w:t>
      </w:r>
      <w:r w:rsidR="004E17AE" w:rsidRPr="004A76D4">
        <w:rPr>
          <w:rFonts w:ascii="Times New Roman" w:hAnsi="Times New Roman" w:cs="Times New Roman"/>
          <w:i/>
          <w:iCs/>
        </w:rPr>
        <w:t>Viking</w:t>
      </w:r>
      <w:r w:rsidR="004E17AE" w:rsidRPr="004A76D4">
        <w:rPr>
          <w:rFonts w:ascii="Times New Roman" w:hAnsi="Times New Roman" w:cs="Times New Roman"/>
        </w:rPr>
        <w:t xml:space="preserve"> court, it </w:t>
      </w:r>
      <w:r w:rsidR="00567896" w:rsidRPr="004A76D4">
        <w:rPr>
          <w:rFonts w:ascii="Times New Roman" w:hAnsi="Times New Roman" w:cs="Times New Roman"/>
        </w:rPr>
        <w:t>applied</w:t>
      </w:r>
      <w:r w:rsidR="004E17AE" w:rsidRPr="004A76D4">
        <w:rPr>
          <w:rFonts w:ascii="Times New Roman" w:hAnsi="Times New Roman" w:cs="Times New Roman"/>
        </w:rPr>
        <w:t xml:space="preserve"> the two </w:t>
      </w:r>
      <w:proofErr w:type="spellStart"/>
      <w:r w:rsidR="004E17AE" w:rsidRPr="004A76D4">
        <w:rPr>
          <w:rFonts w:ascii="Times New Roman" w:hAnsi="Times New Roman" w:cs="Times New Roman"/>
          <w:i/>
          <w:iCs/>
        </w:rPr>
        <w:t>Granfinanciera</w:t>
      </w:r>
      <w:proofErr w:type="spellEnd"/>
      <w:r w:rsidR="004E17AE" w:rsidRPr="004A76D4">
        <w:rPr>
          <w:rFonts w:ascii="Times New Roman" w:hAnsi="Times New Roman" w:cs="Times New Roman"/>
          <w:i/>
          <w:iCs/>
        </w:rPr>
        <w:t>, S.A. v. Nordberg</w:t>
      </w:r>
      <w:r w:rsidR="004E17AE" w:rsidRPr="004A76D4">
        <w:rPr>
          <w:rFonts w:ascii="Times New Roman" w:hAnsi="Times New Roman" w:cs="Times New Roman"/>
        </w:rPr>
        <w:t xml:space="preserve"> factors</w:t>
      </w:r>
      <w:r w:rsidR="00567896" w:rsidRPr="004A76D4">
        <w:rPr>
          <w:rFonts w:ascii="Times New Roman" w:hAnsi="Times New Roman" w:cs="Times New Roman"/>
        </w:rPr>
        <w:t xml:space="preserve">, starting with the character of the remedy.  </w:t>
      </w:r>
      <w:r w:rsidR="00F82112" w:rsidRPr="004A76D4">
        <w:rPr>
          <w:rFonts w:ascii="Times New Roman" w:hAnsi="Times New Roman" w:cs="Times New Roman"/>
        </w:rPr>
        <w:t xml:space="preserve">It then parted ways with the </w:t>
      </w:r>
      <w:r w:rsidR="00F82112" w:rsidRPr="004A76D4">
        <w:rPr>
          <w:rFonts w:ascii="Times New Roman" w:hAnsi="Times New Roman" w:cs="Times New Roman"/>
          <w:i/>
          <w:iCs/>
        </w:rPr>
        <w:t>Viking</w:t>
      </w:r>
      <w:r w:rsidR="00EB3913" w:rsidRPr="004A76D4">
        <w:rPr>
          <w:rFonts w:ascii="Times New Roman" w:hAnsi="Times New Roman" w:cs="Times New Roman"/>
        </w:rPr>
        <w:t xml:space="preserve"> </w:t>
      </w:r>
      <w:r w:rsidR="00F82112" w:rsidRPr="004A76D4">
        <w:rPr>
          <w:rFonts w:ascii="Times New Roman" w:hAnsi="Times New Roman" w:cs="Times New Roman"/>
        </w:rPr>
        <w:t xml:space="preserve">court’s analysis and concluded that </w:t>
      </w:r>
      <w:r w:rsidR="00352B16" w:rsidRPr="004A76D4">
        <w:rPr>
          <w:rFonts w:ascii="Times New Roman" w:hAnsi="Times New Roman" w:cs="Times New Roman"/>
        </w:rPr>
        <w:t xml:space="preserve">remedy </w:t>
      </w:r>
      <w:r w:rsidR="00FA3A46" w:rsidRPr="004A76D4">
        <w:rPr>
          <w:rFonts w:ascii="Times New Roman" w:hAnsi="Times New Roman" w:cs="Times New Roman"/>
        </w:rPr>
        <w:t>sought “i</w:t>
      </w:r>
      <w:r w:rsidR="00352B16" w:rsidRPr="004A76D4">
        <w:rPr>
          <w:rFonts w:ascii="Times New Roman" w:hAnsi="Times New Roman" w:cs="Times New Roman"/>
        </w:rPr>
        <w:t>s largely, if not entirely, legal.</w:t>
      </w:r>
      <w:r w:rsidR="00FA3A46" w:rsidRPr="004A76D4">
        <w:rPr>
          <w:rFonts w:ascii="Times New Roman" w:hAnsi="Times New Roman" w:cs="Times New Roman"/>
        </w:rPr>
        <w:t>”</w:t>
      </w:r>
      <w:r w:rsidR="00352B16" w:rsidRPr="004A76D4">
        <w:rPr>
          <w:rStyle w:val="FootnoteReference"/>
          <w:rFonts w:ascii="Times New Roman" w:hAnsi="Times New Roman" w:cs="Times New Roman"/>
        </w:rPr>
        <w:footnoteReference w:id="11"/>
      </w:r>
      <w:r w:rsidR="00DD2DC4" w:rsidRPr="004A76D4">
        <w:rPr>
          <w:rFonts w:ascii="Times New Roman" w:hAnsi="Times New Roman" w:cs="Times New Roman"/>
        </w:rPr>
        <w:t xml:space="preserve">  It recog</w:t>
      </w:r>
      <w:r w:rsidR="00985BF2" w:rsidRPr="004A76D4">
        <w:rPr>
          <w:rFonts w:ascii="Times New Roman" w:hAnsi="Times New Roman" w:cs="Times New Roman"/>
        </w:rPr>
        <w:t>nized that the Viking court had reached the opposite conclusion</w:t>
      </w:r>
      <w:r w:rsidR="00127A94" w:rsidRPr="004A76D4">
        <w:rPr>
          <w:rFonts w:ascii="Times New Roman" w:hAnsi="Times New Roman" w:cs="Times New Roman"/>
        </w:rPr>
        <w:t xml:space="preserve">, </w:t>
      </w:r>
      <w:r w:rsidR="008F2D02" w:rsidRPr="004A76D4">
        <w:rPr>
          <w:rFonts w:ascii="Times New Roman" w:hAnsi="Times New Roman" w:cs="Times New Roman"/>
        </w:rPr>
        <w:t>and justified it</w:t>
      </w:r>
      <w:r w:rsidR="00C44252" w:rsidRPr="004A76D4">
        <w:rPr>
          <w:rFonts w:ascii="Times New Roman" w:hAnsi="Times New Roman" w:cs="Times New Roman"/>
        </w:rPr>
        <w:t xml:space="preserve">s departure on the grounds that </w:t>
      </w:r>
      <w:r w:rsidR="00586827" w:rsidRPr="004A76D4">
        <w:rPr>
          <w:rFonts w:ascii="Times New Roman" w:hAnsi="Times New Roman" w:cs="Times New Roman"/>
        </w:rPr>
        <w:t>historically, not all restitution was equitable in nature.</w:t>
      </w:r>
      <w:r w:rsidR="00605B1B" w:rsidRPr="004A76D4">
        <w:rPr>
          <w:rFonts w:ascii="Times New Roman" w:hAnsi="Times New Roman" w:cs="Times New Roman"/>
        </w:rPr>
        <w:t xml:space="preserve"> </w:t>
      </w:r>
      <w:r w:rsidR="006E588E" w:rsidRPr="004A76D4">
        <w:rPr>
          <w:rFonts w:ascii="Times New Roman" w:hAnsi="Times New Roman" w:cs="Times New Roman"/>
        </w:rPr>
        <w:t>Rel</w:t>
      </w:r>
      <w:r w:rsidR="00EC0B67" w:rsidRPr="004A76D4">
        <w:rPr>
          <w:rFonts w:ascii="Times New Roman" w:hAnsi="Times New Roman" w:cs="Times New Roman"/>
        </w:rPr>
        <w:t xml:space="preserve">ying on the Supreme Courts </w:t>
      </w:r>
      <w:r w:rsidR="00881351" w:rsidRPr="004A76D4">
        <w:rPr>
          <w:rFonts w:ascii="Times New Roman" w:hAnsi="Times New Roman" w:cs="Times New Roman"/>
        </w:rPr>
        <w:t>discussion of restitution in</w:t>
      </w:r>
      <w:r w:rsidR="00CB479F" w:rsidRPr="004A76D4">
        <w:rPr>
          <w:rFonts w:ascii="Times New Roman" w:hAnsi="Times New Roman" w:cs="Times New Roman"/>
        </w:rPr>
        <w:t xml:space="preserve"> </w:t>
      </w:r>
      <w:r w:rsidR="00CB479F" w:rsidRPr="004A76D4">
        <w:rPr>
          <w:rFonts w:ascii="Times New Roman" w:hAnsi="Times New Roman" w:cs="Times New Roman"/>
          <w:i/>
          <w:iCs/>
        </w:rPr>
        <w:t>Great-W. Life &amp; Annuity Ins. Co. v. Knudson</w:t>
      </w:r>
      <w:r w:rsidR="00CB479F" w:rsidRPr="004A76D4">
        <w:rPr>
          <w:rFonts w:ascii="Times New Roman" w:hAnsi="Times New Roman" w:cs="Times New Roman"/>
        </w:rPr>
        <w:t>,</w:t>
      </w:r>
      <w:r w:rsidR="00CB479F" w:rsidRPr="004A76D4">
        <w:rPr>
          <w:rStyle w:val="FootnoteReference"/>
          <w:rFonts w:ascii="Times New Roman" w:hAnsi="Times New Roman" w:cs="Times New Roman"/>
        </w:rPr>
        <w:footnoteReference w:id="12"/>
      </w:r>
      <w:r w:rsidR="00CB479F" w:rsidRPr="004A76D4">
        <w:rPr>
          <w:rFonts w:ascii="Times New Roman" w:hAnsi="Times New Roman" w:cs="Times New Roman"/>
        </w:rPr>
        <w:t xml:space="preserve"> </w:t>
      </w:r>
      <w:r w:rsidR="00422187" w:rsidRPr="004A76D4">
        <w:rPr>
          <w:rFonts w:ascii="Times New Roman" w:hAnsi="Times New Roman" w:cs="Times New Roman"/>
        </w:rPr>
        <w:t xml:space="preserve">it explained that </w:t>
      </w:r>
      <w:r w:rsidR="00422187" w:rsidRPr="004A76D4">
        <w:rPr>
          <w:rFonts w:ascii="Times New Roman" w:hAnsi="Times New Roman" w:cs="Times New Roman"/>
        </w:rPr>
        <w:t>equitable restitution involved</w:t>
      </w:r>
      <w:r w:rsidR="0001468E" w:rsidRPr="004A76D4">
        <w:rPr>
          <w:rFonts w:ascii="Times New Roman" w:hAnsi="Times New Roman" w:cs="Times New Roman"/>
        </w:rPr>
        <w:t xml:space="preserve"> cases that sought to “recapture something… wrongfully possess</w:t>
      </w:r>
      <w:r w:rsidR="00092076" w:rsidRPr="004A76D4">
        <w:rPr>
          <w:rFonts w:ascii="Times New Roman" w:hAnsi="Times New Roman" w:cs="Times New Roman"/>
        </w:rPr>
        <w:t>[ed]</w:t>
      </w:r>
      <w:r w:rsidR="0085764C" w:rsidRPr="004A76D4">
        <w:rPr>
          <w:rFonts w:ascii="Times New Roman" w:hAnsi="Times New Roman" w:cs="Times New Roman"/>
        </w:rPr>
        <w:t>.”</w:t>
      </w:r>
      <w:r w:rsidR="0085764C" w:rsidRPr="004A76D4">
        <w:rPr>
          <w:rStyle w:val="FootnoteReference"/>
          <w:rFonts w:ascii="Times New Roman" w:hAnsi="Times New Roman" w:cs="Times New Roman"/>
        </w:rPr>
        <w:footnoteReference w:id="13"/>
      </w:r>
      <w:r w:rsidR="0085764C" w:rsidRPr="004A76D4">
        <w:rPr>
          <w:rFonts w:ascii="Times New Roman" w:hAnsi="Times New Roman" w:cs="Times New Roman"/>
        </w:rPr>
        <w:t xml:space="preserve"> </w:t>
      </w:r>
      <w:r w:rsidR="009B3420" w:rsidRPr="004A76D4">
        <w:rPr>
          <w:rFonts w:ascii="Times New Roman" w:hAnsi="Times New Roman" w:cs="Times New Roman"/>
        </w:rPr>
        <w:t xml:space="preserve"> </w:t>
      </w:r>
      <w:r w:rsidR="002E02DD" w:rsidRPr="004A76D4">
        <w:rPr>
          <w:rFonts w:ascii="Times New Roman" w:hAnsi="Times New Roman" w:cs="Times New Roman"/>
        </w:rPr>
        <w:t>The oil recovery costs incurred by Ala</w:t>
      </w:r>
      <w:r w:rsidR="008D7DFB" w:rsidRPr="004A76D4">
        <w:rPr>
          <w:rFonts w:ascii="Times New Roman" w:hAnsi="Times New Roman" w:cs="Times New Roman"/>
        </w:rPr>
        <w:t xml:space="preserve">bama </w:t>
      </w:r>
      <w:r w:rsidR="00136F97" w:rsidRPr="004A76D4">
        <w:rPr>
          <w:rFonts w:ascii="Times New Roman" w:hAnsi="Times New Roman" w:cs="Times New Roman"/>
        </w:rPr>
        <w:t>lacked this</w:t>
      </w:r>
      <w:r w:rsidR="00327F62" w:rsidRPr="004A76D4">
        <w:rPr>
          <w:rFonts w:ascii="Times New Roman" w:hAnsi="Times New Roman" w:cs="Times New Roman"/>
        </w:rPr>
        <w:t xml:space="preserve"> character</w:t>
      </w:r>
      <w:r w:rsidR="00136F97" w:rsidRPr="004A76D4">
        <w:rPr>
          <w:rFonts w:ascii="Times New Roman" w:hAnsi="Times New Roman" w:cs="Times New Roman"/>
        </w:rPr>
        <w:t>;</w:t>
      </w:r>
      <w:r w:rsidR="00327F62" w:rsidRPr="004A76D4">
        <w:rPr>
          <w:rFonts w:ascii="Times New Roman" w:hAnsi="Times New Roman" w:cs="Times New Roman"/>
        </w:rPr>
        <w:t xml:space="preserve"> rather</w:t>
      </w:r>
      <w:r w:rsidR="00136F97" w:rsidRPr="004A76D4">
        <w:rPr>
          <w:rFonts w:ascii="Times New Roman" w:hAnsi="Times New Roman" w:cs="Times New Roman"/>
        </w:rPr>
        <w:t>,</w:t>
      </w:r>
      <w:r w:rsidR="00327F62" w:rsidRPr="004A76D4">
        <w:rPr>
          <w:rFonts w:ascii="Times New Roman" w:hAnsi="Times New Roman" w:cs="Times New Roman"/>
        </w:rPr>
        <w:t xml:space="preserve"> they were a “</w:t>
      </w:r>
      <w:r w:rsidR="00327F62" w:rsidRPr="004A76D4">
        <w:rPr>
          <w:rFonts w:ascii="Times New Roman" w:hAnsi="Times New Roman" w:cs="Times New Roman"/>
        </w:rPr>
        <w:t>personal liability on the defendant</w:t>
      </w:r>
      <w:r w:rsidR="00327F62" w:rsidRPr="004A76D4">
        <w:rPr>
          <w:rFonts w:ascii="Times New Roman" w:hAnsi="Times New Roman" w:cs="Times New Roman"/>
        </w:rPr>
        <w:t>.”</w:t>
      </w:r>
      <w:r w:rsidR="00CC3CBA" w:rsidRPr="004A76D4">
        <w:rPr>
          <w:rStyle w:val="FootnoteReference"/>
          <w:rFonts w:ascii="Times New Roman" w:hAnsi="Times New Roman" w:cs="Times New Roman"/>
        </w:rPr>
        <w:footnoteReference w:id="14"/>
      </w:r>
      <w:r w:rsidR="00327F62" w:rsidRPr="004A76D4">
        <w:rPr>
          <w:rFonts w:ascii="Times New Roman" w:hAnsi="Times New Roman" w:cs="Times New Roman"/>
        </w:rPr>
        <w:t xml:space="preserve"> </w:t>
      </w:r>
    </w:p>
    <w:p w14:paraId="3B0961FB" w14:textId="05D0EEAE" w:rsidR="00C91FBE" w:rsidRPr="004A76D4" w:rsidRDefault="00B82CA8" w:rsidP="00C91FBE">
      <w:pPr>
        <w:rPr>
          <w:rFonts w:ascii="Times New Roman" w:hAnsi="Times New Roman" w:cs="Times New Roman"/>
        </w:rPr>
      </w:pPr>
      <w:r w:rsidRPr="004A76D4">
        <w:rPr>
          <w:rFonts w:ascii="Times New Roman" w:hAnsi="Times New Roman" w:cs="Times New Roman"/>
        </w:rPr>
        <w:t xml:space="preserve">The </w:t>
      </w:r>
      <w:r w:rsidRPr="004A76D4">
        <w:rPr>
          <w:rFonts w:ascii="Times New Roman" w:hAnsi="Times New Roman" w:cs="Times New Roman"/>
          <w:i/>
          <w:iCs/>
        </w:rPr>
        <w:t xml:space="preserve">Deepwater </w:t>
      </w:r>
      <w:r w:rsidRPr="004A76D4">
        <w:rPr>
          <w:rFonts w:ascii="Times New Roman" w:hAnsi="Times New Roman" w:cs="Times New Roman"/>
        </w:rPr>
        <w:t xml:space="preserve">court </w:t>
      </w:r>
      <w:r w:rsidR="001D4139" w:rsidRPr="004A76D4">
        <w:rPr>
          <w:rFonts w:ascii="Times New Roman" w:hAnsi="Times New Roman" w:cs="Times New Roman"/>
        </w:rPr>
        <w:t xml:space="preserve">then turned to the character of the action, giving this factor considerably more attention than the </w:t>
      </w:r>
      <w:r w:rsidR="001D4139" w:rsidRPr="004A76D4">
        <w:rPr>
          <w:rFonts w:ascii="Times New Roman" w:hAnsi="Times New Roman" w:cs="Times New Roman"/>
          <w:i/>
          <w:iCs/>
        </w:rPr>
        <w:t xml:space="preserve">Viking </w:t>
      </w:r>
      <w:r w:rsidR="001D4139" w:rsidRPr="004A76D4">
        <w:rPr>
          <w:rFonts w:ascii="Times New Roman" w:hAnsi="Times New Roman" w:cs="Times New Roman"/>
        </w:rPr>
        <w:t xml:space="preserve">court.  </w:t>
      </w:r>
      <w:r w:rsidR="005A5353" w:rsidRPr="004A76D4">
        <w:rPr>
          <w:rFonts w:ascii="Times New Roman" w:hAnsi="Times New Roman" w:cs="Times New Roman"/>
        </w:rPr>
        <w:t>I</w:t>
      </w:r>
      <w:r w:rsidR="00136F97" w:rsidRPr="004A76D4">
        <w:rPr>
          <w:rFonts w:ascii="Times New Roman" w:hAnsi="Times New Roman" w:cs="Times New Roman"/>
        </w:rPr>
        <w:t>n doing so</w:t>
      </w:r>
      <w:r w:rsidR="002519B8" w:rsidRPr="004A76D4">
        <w:rPr>
          <w:rFonts w:ascii="Times New Roman" w:hAnsi="Times New Roman" w:cs="Times New Roman"/>
        </w:rPr>
        <w:t>, it</w:t>
      </w:r>
      <w:r w:rsidR="005A5353" w:rsidRPr="004A76D4">
        <w:rPr>
          <w:rFonts w:ascii="Times New Roman" w:hAnsi="Times New Roman" w:cs="Times New Roman"/>
        </w:rPr>
        <w:t xml:space="preserve"> </w:t>
      </w:r>
      <w:r w:rsidR="00BA0CF4" w:rsidRPr="004A76D4">
        <w:rPr>
          <w:rFonts w:ascii="Times New Roman" w:hAnsi="Times New Roman" w:cs="Times New Roman"/>
        </w:rPr>
        <w:t>return</w:t>
      </w:r>
      <w:r w:rsidR="00697064" w:rsidRPr="004A76D4">
        <w:rPr>
          <w:rFonts w:ascii="Times New Roman" w:hAnsi="Times New Roman" w:cs="Times New Roman"/>
        </w:rPr>
        <w:t>ed</w:t>
      </w:r>
      <w:r w:rsidR="00BA0CF4" w:rsidRPr="004A76D4">
        <w:rPr>
          <w:rFonts w:ascii="Times New Roman" w:hAnsi="Times New Roman" w:cs="Times New Roman"/>
        </w:rPr>
        <w:t xml:space="preserve"> to the question of admiralty jurisdiction, no</w:t>
      </w:r>
      <w:r w:rsidR="00697064" w:rsidRPr="004A76D4">
        <w:rPr>
          <w:rFonts w:ascii="Times New Roman" w:hAnsi="Times New Roman" w:cs="Times New Roman"/>
        </w:rPr>
        <w:t>w</w:t>
      </w:r>
      <w:r w:rsidR="00BA0CF4" w:rsidRPr="004A76D4">
        <w:rPr>
          <w:rFonts w:ascii="Times New Roman" w:hAnsi="Times New Roman" w:cs="Times New Roman"/>
        </w:rPr>
        <w:t xml:space="preserve"> to consider whether </w:t>
      </w:r>
      <w:r w:rsidR="003C1670" w:rsidRPr="004A76D4">
        <w:rPr>
          <w:rFonts w:ascii="Times New Roman" w:hAnsi="Times New Roman" w:cs="Times New Roman"/>
        </w:rPr>
        <w:t xml:space="preserve">an action such as Alabama’s would have been heard in admiralty </w:t>
      </w:r>
      <w:r w:rsidR="00697064" w:rsidRPr="004A76D4">
        <w:rPr>
          <w:rFonts w:ascii="Times New Roman" w:hAnsi="Times New Roman" w:cs="Times New Roman"/>
        </w:rPr>
        <w:t>historically.</w:t>
      </w:r>
      <w:r w:rsidR="009365AF" w:rsidRPr="004A76D4">
        <w:rPr>
          <w:rFonts w:ascii="Times New Roman" w:hAnsi="Times New Roman" w:cs="Times New Roman"/>
        </w:rPr>
        <w:t xml:space="preserve">  Considering both English a</w:t>
      </w:r>
      <w:r w:rsidR="008B4730" w:rsidRPr="004A76D4">
        <w:rPr>
          <w:rFonts w:ascii="Times New Roman" w:hAnsi="Times New Roman" w:cs="Times New Roman"/>
        </w:rPr>
        <w:t>n</w:t>
      </w:r>
      <w:r w:rsidR="009365AF" w:rsidRPr="004A76D4">
        <w:rPr>
          <w:rFonts w:ascii="Times New Roman" w:hAnsi="Times New Roman" w:cs="Times New Roman"/>
        </w:rPr>
        <w:t xml:space="preserve">d early American </w:t>
      </w:r>
      <w:r w:rsidR="00C91FBE" w:rsidRPr="004A76D4">
        <w:rPr>
          <w:rFonts w:ascii="Times New Roman" w:hAnsi="Times New Roman" w:cs="Times New Roman"/>
        </w:rPr>
        <w:t>precedents, it concluded that</w:t>
      </w:r>
      <w:r w:rsidR="00697064" w:rsidRPr="004A76D4">
        <w:rPr>
          <w:rFonts w:ascii="Times New Roman" w:hAnsi="Times New Roman" w:cs="Times New Roman"/>
        </w:rPr>
        <w:t xml:space="preserve"> </w:t>
      </w:r>
      <w:r w:rsidR="00C91FBE" w:rsidRPr="004A76D4">
        <w:rPr>
          <w:rFonts w:ascii="Times New Roman" w:hAnsi="Times New Roman" w:cs="Times New Roman"/>
        </w:rPr>
        <w:t xml:space="preserve">prior to the </w:t>
      </w:r>
      <w:r w:rsidR="00C91FBE" w:rsidRPr="004A76D4">
        <w:rPr>
          <w:rFonts w:ascii="Times New Roman" w:hAnsi="Times New Roman" w:cs="Times New Roman"/>
        </w:rPr>
        <w:t>1948</w:t>
      </w:r>
      <w:r w:rsidR="00C91FBE" w:rsidRPr="004A76D4">
        <w:rPr>
          <w:rFonts w:ascii="Times New Roman" w:hAnsi="Times New Roman" w:cs="Times New Roman"/>
        </w:rPr>
        <w:t xml:space="preserve"> </w:t>
      </w:r>
      <w:r w:rsidR="00C91FBE" w:rsidRPr="004A76D4">
        <w:rPr>
          <w:rFonts w:ascii="Times New Roman" w:hAnsi="Times New Roman" w:cs="Times New Roman"/>
        </w:rPr>
        <w:t>Admiralty Extension Act</w:t>
      </w:r>
      <w:r w:rsidR="00C91FBE" w:rsidRPr="004A76D4">
        <w:rPr>
          <w:rFonts w:ascii="Times New Roman" w:hAnsi="Times New Roman" w:cs="Times New Roman"/>
        </w:rPr>
        <w:t xml:space="preserve">, </w:t>
      </w:r>
      <w:r w:rsidR="00976BD3" w:rsidRPr="004A76D4">
        <w:rPr>
          <w:rFonts w:ascii="Times New Roman" w:hAnsi="Times New Roman" w:cs="Times New Roman"/>
        </w:rPr>
        <w:t>the actions would have been pled to common law courts in a writ of trespass or trespass on the case.</w:t>
      </w:r>
      <w:r w:rsidR="008B4730" w:rsidRPr="004A76D4">
        <w:rPr>
          <w:rStyle w:val="FootnoteReference"/>
          <w:rFonts w:ascii="Times New Roman" w:hAnsi="Times New Roman" w:cs="Times New Roman"/>
        </w:rPr>
        <w:footnoteReference w:id="15"/>
      </w:r>
      <w:r w:rsidR="00976BD3" w:rsidRPr="004A76D4">
        <w:rPr>
          <w:rFonts w:ascii="Times New Roman" w:hAnsi="Times New Roman" w:cs="Times New Roman"/>
        </w:rPr>
        <w:t xml:space="preserve"> </w:t>
      </w:r>
      <w:r w:rsidR="00FC2081" w:rsidRPr="004A76D4">
        <w:rPr>
          <w:rFonts w:ascii="Times New Roman" w:hAnsi="Times New Roman" w:cs="Times New Roman"/>
        </w:rPr>
        <w:t xml:space="preserve"> </w:t>
      </w:r>
      <w:r w:rsidR="00C11E73" w:rsidRPr="004A76D4">
        <w:rPr>
          <w:rFonts w:ascii="Times New Roman" w:hAnsi="Times New Roman" w:cs="Times New Roman"/>
        </w:rPr>
        <w:t>Cons</w:t>
      </w:r>
      <w:r w:rsidR="007C1873" w:rsidRPr="004A76D4">
        <w:rPr>
          <w:rFonts w:ascii="Times New Roman" w:hAnsi="Times New Roman" w:cs="Times New Roman"/>
        </w:rPr>
        <w:t xml:space="preserve">equently, Alabama’s claim to a jury trial under the Seventh Amendment </w:t>
      </w:r>
      <w:r w:rsidR="009B4B0F" w:rsidRPr="004A76D4">
        <w:rPr>
          <w:rFonts w:ascii="Times New Roman" w:hAnsi="Times New Roman" w:cs="Times New Roman"/>
        </w:rPr>
        <w:t>were supported by historic practice.</w:t>
      </w:r>
      <w:r w:rsidR="009B4B0F" w:rsidRPr="004A76D4">
        <w:rPr>
          <w:rStyle w:val="FootnoteReference"/>
          <w:rFonts w:ascii="Times New Roman" w:hAnsi="Times New Roman" w:cs="Times New Roman"/>
        </w:rPr>
        <w:footnoteReference w:id="16"/>
      </w:r>
    </w:p>
    <w:p w14:paraId="42C69210" w14:textId="68879570" w:rsidR="000C0AF2" w:rsidRPr="004A76D4" w:rsidRDefault="00C41630" w:rsidP="00AE7127">
      <w:pPr>
        <w:rPr>
          <w:rFonts w:ascii="Times New Roman" w:hAnsi="Times New Roman" w:cs="Times New Roman"/>
          <w:b/>
          <w:bCs/>
        </w:rPr>
      </w:pPr>
      <w:r w:rsidRPr="004A76D4">
        <w:rPr>
          <w:rFonts w:ascii="Times New Roman" w:hAnsi="Times New Roman" w:cs="Times New Roman"/>
          <w:b/>
          <w:bCs/>
        </w:rPr>
        <w:t xml:space="preserve">United States v. ERR: </w:t>
      </w:r>
      <w:r w:rsidR="00C71235" w:rsidRPr="004A76D4">
        <w:rPr>
          <w:rFonts w:ascii="Times New Roman" w:hAnsi="Times New Roman" w:cs="Times New Roman"/>
          <w:b/>
          <w:bCs/>
        </w:rPr>
        <w:t>Procedural Posture.</w:t>
      </w:r>
    </w:p>
    <w:p w14:paraId="7302A0D9" w14:textId="07B4A117" w:rsidR="00C71235" w:rsidRPr="004A76D4" w:rsidRDefault="00831ACD" w:rsidP="00AE7127">
      <w:pPr>
        <w:rPr>
          <w:rFonts w:ascii="Times New Roman" w:hAnsi="Times New Roman" w:cs="Times New Roman"/>
        </w:rPr>
      </w:pPr>
      <w:r w:rsidRPr="004A76D4">
        <w:rPr>
          <w:rFonts w:ascii="Times New Roman" w:hAnsi="Times New Roman" w:cs="Times New Roman"/>
        </w:rPr>
        <w:t>The United States as plaintiff moved to strike</w:t>
      </w:r>
      <w:r w:rsidR="00062C9C" w:rsidRPr="004A76D4">
        <w:rPr>
          <w:rFonts w:ascii="Times New Roman" w:hAnsi="Times New Roman" w:cs="Times New Roman"/>
        </w:rPr>
        <w:t xml:space="preserve"> E.R.R.’s demand for jury</w:t>
      </w:r>
      <w:r w:rsidR="00931753" w:rsidRPr="004A76D4">
        <w:rPr>
          <w:rFonts w:ascii="Times New Roman" w:hAnsi="Times New Roman" w:cs="Times New Roman"/>
        </w:rPr>
        <w:t xml:space="preserve"> trial based </w:t>
      </w:r>
      <w:r w:rsidR="00CF12B8" w:rsidRPr="004A76D4">
        <w:rPr>
          <w:rFonts w:ascii="Times New Roman" w:hAnsi="Times New Roman" w:cs="Times New Roman"/>
        </w:rPr>
        <w:t xml:space="preserve">on the absence of a statutory right to jury trial under OPA and </w:t>
      </w:r>
      <w:r w:rsidR="00081270" w:rsidRPr="004A76D4">
        <w:rPr>
          <w:rFonts w:ascii="Times New Roman" w:hAnsi="Times New Roman" w:cs="Times New Roman"/>
        </w:rPr>
        <w:t xml:space="preserve">the alleged equitable nature of the </w:t>
      </w:r>
      <w:r w:rsidR="000132A0" w:rsidRPr="004A76D4">
        <w:rPr>
          <w:rFonts w:ascii="Times New Roman" w:hAnsi="Times New Roman" w:cs="Times New Roman"/>
        </w:rPr>
        <w:t>government’s cost recovery suit.</w:t>
      </w:r>
      <w:r w:rsidR="000132A0" w:rsidRPr="004A76D4">
        <w:rPr>
          <w:rStyle w:val="FootnoteReference"/>
          <w:rFonts w:ascii="Times New Roman" w:hAnsi="Times New Roman" w:cs="Times New Roman"/>
        </w:rPr>
        <w:footnoteReference w:id="17"/>
      </w:r>
      <w:r w:rsidR="00D22B76" w:rsidRPr="004A76D4">
        <w:rPr>
          <w:rFonts w:ascii="Times New Roman" w:hAnsi="Times New Roman" w:cs="Times New Roman"/>
        </w:rPr>
        <w:t xml:space="preserve">  The trial court </w:t>
      </w:r>
      <w:proofErr w:type="gramStart"/>
      <w:r w:rsidR="00D22B76" w:rsidRPr="004A76D4">
        <w:rPr>
          <w:rFonts w:ascii="Times New Roman" w:hAnsi="Times New Roman" w:cs="Times New Roman"/>
        </w:rPr>
        <w:t>agreed</w:t>
      </w:r>
      <w:proofErr w:type="gramEnd"/>
      <w:r w:rsidR="00D22B76" w:rsidRPr="004A76D4">
        <w:rPr>
          <w:rFonts w:ascii="Times New Roman" w:hAnsi="Times New Roman" w:cs="Times New Roman"/>
        </w:rPr>
        <w:t xml:space="preserve"> and the case proceeded to </w:t>
      </w:r>
      <w:r w:rsidR="00DC1624" w:rsidRPr="004A76D4">
        <w:rPr>
          <w:rFonts w:ascii="Times New Roman" w:hAnsi="Times New Roman" w:cs="Times New Roman"/>
        </w:rPr>
        <w:t xml:space="preserve">a bench trial where </w:t>
      </w:r>
      <w:r w:rsidR="00405217" w:rsidRPr="004A76D4">
        <w:rPr>
          <w:rFonts w:ascii="Times New Roman" w:hAnsi="Times New Roman" w:cs="Times New Roman"/>
        </w:rPr>
        <w:t xml:space="preserve">the Court </w:t>
      </w:r>
      <w:r w:rsidR="008218D0" w:rsidRPr="004A76D4">
        <w:rPr>
          <w:rFonts w:ascii="Times New Roman" w:hAnsi="Times New Roman" w:cs="Times New Roman"/>
        </w:rPr>
        <w:t>entered a verdict</w:t>
      </w:r>
      <w:r w:rsidR="00405217" w:rsidRPr="004A76D4">
        <w:rPr>
          <w:rFonts w:ascii="Times New Roman" w:hAnsi="Times New Roman" w:cs="Times New Roman"/>
        </w:rPr>
        <w:t xml:space="preserve"> for the government and </w:t>
      </w:r>
      <w:r w:rsidR="008218D0" w:rsidRPr="004A76D4">
        <w:rPr>
          <w:rFonts w:ascii="Times New Roman" w:hAnsi="Times New Roman" w:cs="Times New Roman"/>
        </w:rPr>
        <w:t>awarded removal costs, administrative-adjudication costs, and attorney's fees.</w:t>
      </w:r>
      <w:r w:rsidR="00DA0C1C" w:rsidRPr="004A76D4">
        <w:rPr>
          <w:rFonts w:ascii="Times New Roman" w:hAnsi="Times New Roman" w:cs="Times New Roman"/>
        </w:rPr>
        <w:t xml:space="preserve"> E</w:t>
      </w:r>
      <w:r w:rsidR="00B95368" w:rsidRPr="004A76D4">
        <w:rPr>
          <w:rFonts w:ascii="Times New Roman" w:hAnsi="Times New Roman" w:cs="Times New Roman"/>
        </w:rPr>
        <w:t>RR</w:t>
      </w:r>
      <w:r w:rsidR="00DA0C1C" w:rsidRPr="004A76D4">
        <w:rPr>
          <w:rFonts w:ascii="Times New Roman" w:hAnsi="Times New Roman" w:cs="Times New Roman"/>
        </w:rPr>
        <w:t xml:space="preserve"> appealed </w:t>
      </w:r>
      <w:r w:rsidR="00E740C7" w:rsidRPr="004A76D4">
        <w:rPr>
          <w:rFonts w:ascii="Times New Roman" w:hAnsi="Times New Roman" w:cs="Times New Roman"/>
        </w:rPr>
        <w:t>under</w:t>
      </w:r>
      <w:r w:rsidR="00DA0C1C" w:rsidRPr="004A76D4">
        <w:rPr>
          <w:rFonts w:ascii="Times New Roman" w:hAnsi="Times New Roman" w:cs="Times New Roman"/>
        </w:rPr>
        <w:t xml:space="preserve"> </w:t>
      </w:r>
      <w:r w:rsidR="00E740C7" w:rsidRPr="004A76D4">
        <w:rPr>
          <w:rFonts w:ascii="Times New Roman" w:hAnsi="Times New Roman" w:cs="Times New Roman"/>
        </w:rPr>
        <w:t xml:space="preserve">28 U.S.C. § 1291, </w:t>
      </w:r>
      <w:r w:rsidR="00684DF8" w:rsidRPr="004A76D4">
        <w:rPr>
          <w:rFonts w:ascii="Times New Roman" w:hAnsi="Times New Roman" w:cs="Times New Roman"/>
        </w:rPr>
        <w:t>alleging insufficient evidence of the path of discharge</w:t>
      </w:r>
      <w:r w:rsidR="00D42E4A" w:rsidRPr="004A76D4">
        <w:rPr>
          <w:rFonts w:ascii="Times New Roman" w:hAnsi="Times New Roman" w:cs="Times New Roman"/>
        </w:rPr>
        <w:t>, error in the</w:t>
      </w:r>
      <w:r w:rsidR="00DA0C1C" w:rsidRPr="004A76D4">
        <w:rPr>
          <w:rFonts w:ascii="Times New Roman" w:hAnsi="Times New Roman" w:cs="Times New Roman"/>
        </w:rPr>
        <w:t xml:space="preserve"> court's denial of the jury-tria</w:t>
      </w:r>
      <w:r w:rsidR="003B37F7" w:rsidRPr="004A76D4">
        <w:rPr>
          <w:rFonts w:ascii="Times New Roman" w:hAnsi="Times New Roman" w:cs="Times New Roman"/>
        </w:rPr>
        <w:t>l</w:t>
      </w:r>
      <w:r w:rsidR="00DA0C1C" w:rsidRPr="004A76D4">
        <w:rPr>
          <w:rFonts w:ascii="Times New Roman" w:hAnsi="Times New Roman" w:cs="Times New Roman"/>
        </w:rPr>
        <w:t xml:space="preserve">, </w:t>
      </w:r>
      <w:r w:rsidR="00D42E4A" w:rsidRPr="004A76D4">
        <w:rPr>
          <w:rFonts w:ascii="Times New Roman" w:hAnsi="Times New Roman" w:cs="Times New Roman"/>
        </w:rPr>
        <w:t>claiming that the removal costs were arbitrary and capricious.</w:t>
      </w:r>
      <w:r w:rsidR="00DA0C1C" w:rsidRPr="004A76D4">
        <w:rPr>
          <w:rFonts w:ascii="Times New Roman" w:hAnsi="Times New Roman" w:cs="Times New Roman"/>
        </w:rPr>
        <w:t xml:space="preserve"> </w:t>
      </w:r>
      <w:r w:rsidR="00D42E4A" w:rsidRPr="004A76D4">
        <w:rPr>
          <w:rFonts w:ascii="Times New Roman" w:hAnsi="Times New Roman" w:cs="Times New Roman"/>
        </w:rPr>
        <w:t xml:space="preserve"> </w:t>
      </w:r>
      <w:r w:rsidR="00484F61" w:rsidRPr="004A76D4">
        <w:rPr>
          <w:rFonts w:ascii="Times New Roman" w:hAnsi="Times New Roman" w:cs="Times New Roman"/>
        </w:rPr>
        <w:t>The government</w:t>
      </w:r>
      <w:r w:rsidR="00A5571C" w:rsidRPr="004A76D4">
        <w:rPr>
          <w:rFonts w:ascii="Times New Roman" w:hAnsi="Times New Roman" w:cs="Times New Roman"/>
        </w:rPr>
        <w:t xml:space="preserve">’s brief does not appear to raise the issue of waiver.  </w:t>
      </w:r>
      <w:r w:rsidR="00D42E4A" w:rsidRPr="004A76D4">
        <w:rPr>
          <w:rFonts w:ascii="Times New Roman" w:hAnsi="Times New Roman" w:cs="Times New Roman"/>
        </w:rPr>
        <w:t>The Court</w:t>
      </w:r>
      <w:r w:rsidR="00DB3A8D" w:rsidRPr="004A76D4">
        <w:rPr>
          <w:rFonts w:ascii="Times New Roman" w:hAnsi="Times New Roman" w:cs="Times New Roman"/>
        </w:rPr>
        <w:t xml:space="preserve"> reversed </w:t>
      </w:r>
      <w:r w:rsidR="0063001E" w:rsidRPr="004A76D4">
        <w:rPr>
          <w:rFonts w:ascii="Times New Roman" w:hAnsi="Times New Roman" w:cs="Times New Roman"/>
        </w:rPr>
        <w:t xml:space="preserve">solely on the </w:t>
      </w:r>
      <w:r w:rsidR="00DB3A8D" w:rsidRPr="004A76D4">
        <w:rPr>
          <w:rFonts w:ascii="Times New Roman" w:hAnsi="Times New Roman" w:cs="Times New Roman"/>
        </w:rPr>
        <w:t xml:space="preserve">jury-trial </w:t>
      </w:r>
      <w:r w:rsidR="0063001E" w:rsidRPr="004A76D4">
        <w:rPr>
          <w:rFonts w:ascii="Times New Roman" w:hAnsi="Times New Roman" w:cs="Times New Roman"/>
        </w:rPr>
        <w:t>trial issue</w:t>
      </w:r>
      <w:r w:rsidR="001F7469" w:rsidRPr="004A76D4">
        <w:rPr>
          <w:rFonts w:ascii="Times New Roman" w:hAnsi="Times New Roman" w:cs="Times New Roman"/>
        </w:rPr>
        <w:t>.</w:t>
      </w:r>
    </w:p>
    <w:p w14:paraId="0B6F39ED" w14:textId="77777777" w:rsidR="00C41630" w:rsidRPr="004A76D4" w:rsidRDefault="00C41630" w:rsidP="00C41630">
      <w:pPr>
        <w:rPr>
          <w:rFonts w:ascii="Times New Roman" w:hAnsi="Times New Roman" w:cs="Times New Roman"/>
          <w:b/>
          <w:bCs/>
        </w:rPr>
      </w:pPr>
      <w:r w:rsidRPr="004A76D4">
        <w:rPr>
          <w:rFonts w:ascii="Times New Roman" w:hAnsi="Times New Roman" w:cs="Times New Roman"/>
          <w:b/>
          <w:bCs/>
        </w:rPr>
        <w:t xml:space="preserve">United States v. ERR: tunnelling out of the avalanche. </w:t>
      </w:r>
    </w:p>
    <w:p w14:paraId="1AEE37FA" w14:textId="025DD207" w:rsidR="008F760B" w:rsidRPr="004A76D4" w:rsidRDefault="00187267" w:rsidP="008F760B">
      <w:pPr>
        <w:rPr>
          <w:rFonts w:ascii="Times New Roman" w:hAnsi="Times New Roman" w:cs="Times New Roman"/>
        </w:rPr>
      </w:pPr>
      <w:r w:rsidRPr="004A76D4">
        <w:rPr>
          <w:rFonts w:ascii="Times New Roman" w:hAnsi="Times New Roman" w:cs="Times New Roman"/>
        </w:rPr>
        <w:t xml:space="preserve">The Fifth </w:t>
      </w:r>
      <w:r w:rsidR="001C1675" w:rsidRPr="004A76D4">
        <w:rPr>
          <w:rFonts w:ascii="Times New Roman" w:hAnsi="Times New Roman" w:cs="Times New Roman"/>
        </w:rPr>
        <w:t xml:space="preserve">Circuit began its analysis by discussing the history of the Seventh Amendment </w:t>
      </w:r>
      <w:r w:rsidR="002A394D" w:rsidRPr="004A76D4">
        <w:rPr>
          <w:rFonts w:ascii="Times New Roman" w:hAnsi="Times New Roman" w:cs="Times New Roman"/>
        </w:rPr>
        <w:t xml:space="preserve">and the </w:t>
      </w:r>
      <w:r w:rsidR="00BA1013" w:rsidRPr="004A76D4">
        <w:rPr>
          <w:rFonts w:ascii="Times New Roman" w:hAnsi="Times New Roman" w:cs="Times New Roman"/>
        </w:rPr>
        <w:t xml:space="preserve">debate over the right to a jury trial during the framing of the Constitution.  </w:t>
      </w:r>
      <w:r w:rsidR="00DC430E" w:rsidRPr="004A76D4">
        <w:rPr>
          <w:rFonts w:ascii="Times New Roman" w:hAnsi="Times New Roman" w:cs="Times New Roman"/>
        </w:rPr>
        <w:t xml:space="preserve">Perhaps </w:t>
      </w:r>
      <w:r w:rsidR="0001737D" w:rsidRPr="004A76D4">
        <w:rPr>
          <w:rFonts w:ascii="Times New Roman" w:hAnsi="Times New Roman" w:cs="Times New Roman"/>
        </w:rPr>
        <w:t xml:space="preserve">foreshadowing the outcome </w:t>
      </w:r>
      <w:r w:rsidR="0001737D" w:rsidRPr="004A76D4">
        <w:rPr>
          <w:rFonts w:ascii="Times New Roman" w:hAnsi="Times New Roman" w:cs="Times New Roman"/>
        </w:rPr>
        <w:lastRenderedPageBreak/>
        <w:t xml:space="preserve">of the decision </w:t>
      </w:r>
      <w:r w:rsidR="009114EA" w:rsidRPr="004A76D4">
        <w:rPr>
          <w:rFonts w:ascii="Times New Roman" w:hAnsi="Times New Roman" w:cs="Times New Roman"/>
        </w:rPr>
        <w:t xml:space="preserve">in the case, which originated with the Coast Guard, the court </w:t>
      </w:r>
      <w:r w:rsidR="002418F2" w:rsidRPr="004A76D4">
        <w:rPr>
          <w:rFonts w:ascii="Times New Roman" w:hAnsi="Times New Roman" w:cs="Times New Roman"/>
        </w:rPr>
        <w:t>announce</w:t>
      </w:r>
      <w:r w:rsidR="00C24430" w:rsidRPr="004A76D4">
        <w:rPr>
          <w:rFonts w:ascii="Times New Roman" w:hAnsi="Times New Roman" w:cs="Times New Roman"/>
        </w:rPr>
        <w:t>d</w:t>
      </w:r>
      <w:r w:rsidR="002418F2" w:rsidRPr="004A76D4">
        <w:rPr>
          <w:rFonts w:ascii="Times New Roman" w:hAnsi="Times New Roman" w:cs="Times New Roman"/>
        </w:rPr>
        <w:t xml:space="preserve"> that in the debate o</w:t>
      </w:r>
      <w:r w:rsidR="00C24430" w:rsidRPr="004A76D4">
        <w:rPr>
          <w:rFonts w:ascii="Times New Roman" w:hAnsi="Times New Roman" w:cs="Times New Roman"/>
        </w:rPr>
        <w:t>ver</w:t>
      </w:r>
      <w:r w:rsidR="002418F2" w:rsidRPr="004A76D4">
        <w:rPr>
          <w:rFonts w:ascii="Times New Roman" w:hAnsi="Times New Roman" w:cs="Times New Roman"/>
        </w:rPr>
        <w:t xml:space="preserve"> the </w:t>
      </w:r>
      <w:r w:rsidR="008F760B" w:rsidRPr="004A76D4">
        <w:rPr>
          <w:rFonts w:ascii="Times New Roman" w:hAnsi="Times New Roman" w:cs="Times New Roman"/>
        </w:rPr>
        <w:t>jury</w:t>
      </w:r>
      <w:r w:rsidR="002418F2" w:rsidRPr="004A76D4">
        <w:rPr>
          <w:rFonts w:ascii="Times New Roman" w:hAnsi="Times New Roman" w:cs="Times New Roman"/>
        </w:rPr>
        <w:t xml:space="preserve"> trial, “</w:t>
      </w:r>
      <w:r w:rsidR="008F760B" w:rsidRPr="004A76D4">
        <w:rPr>
          <w:rFonts w:ascii="Times New Roman" w:hAnsi="Times New Roman" w:cs="Times New Roman"/>
        </w:rPr>
        <w:t>Hamilton lost</w:t>
      </w:r>
      <w:r w:rsidR="008F760B" w:rsidRPr="004A76D4">
        <w:rPr>
          <w:rFonts w:ascii="Times New Roman" w:hAnsi="Times New Roman" w:cs="Times New Roman"/>
        </w:rPr>
        <w:t>.”</w:t>
      </w:r>
      <w:r w:rsidR="008F760B" w:rsidRPr="004A76D4">
        <w:rPr>
          <w:rStyle w:val="FootnoteReference"/>
          <w:rFonts w:ascii="Times New Roman" w:hAnsi="Times New Roman" w:cs="Times New Roman"/>
        </w:rPr>
        <w:footnoteReference w:id="18"/>
      </w:r>
    </w:p>
    <w:p w14:paraId="7CE0D2E1" w14:textId="340AFA7D" w:rsidR="008F760B" w:rsidRPr="004A76D4" w:rsidRDefault="003F1FC2" w:rsidP="008F760B">
      <w:pPr>
        <w:rPr>
          <w:rFonts w:ascii="Times New Roman" w:hAnsi="Times New Roman" w:cs="Times New Roman"/>
        </w:rPr>
      </w:pPr>
      <w:r w:rsidRPr="004A76D4">
        <w:rPr>
          <w:rFonts w:ascii="Times New Roman" w:hAnsi="Times New Roman" w:cs="Times New Roman"/>
        </w:rPr>
        <w:t>The Court then move</w:t>
      </w:r>
      <w:r w:rsidR="00C24430" w:rsidRPr="004A76D4">
        <w:rPr>
          <w:rFonts w:ascii="Times New Roman" w:hAnsi="Times New Roman" w:cs="Times New Roman"/>
        </w:rPr>
        <w:t>d</w:t>
      </w:r>
      <w:r w:rsidRPr="004A76D4">
        <w:rPr>
          <w:rFonts w:ascii="Times New Roman" w:hAnsi="Times New Roman" w:cs="Times New Roman"/>
        </w:rPr>
        <w:t xml:space="preserve"> </w:t>
      </w:r>
      <w:r w:rsidR="00A90CB5" w:rsidRPr="004A76D4">
        <w:rPr>
          <w:rFonts w:ascii="Times New Roman" w:hAnsi="Times New Roman" w:cs="Times New Roman"/>
        </w:rPr>
        <w:t xml:space="preserve">on </w:t>
      </w:r>
      <w:r w:rsidR="00693E85" w:rsidRPr="004A76D4">
        <w:rPr>
          <w:rFonts w:ascii="Times New Roman" w:hAnsi="Times New Roman" w:cs="Times New Roman"/>
        </w:rPr>
        <w:t>to</w:t>
      </w:r>
      <w:r w:rsidRPr="004A76D4">
        <w:rPr>
          <w:rFonts w:ascii="Times New Roman" w:hAnsi="Times New Roman" w:cs="Times New Roman"/>
        </w:rPr>
        <w:t xml:space="preserve"> the </w:t>
      </w:r>
      <w:proofErr w:type="spellStart"/>
      <w:r w:rsidRPr="004A76D4">
        <w:rPr>
          <w:rFonts w:ascii="Times New Roman" w:hAnsi="Times New Roman" w:cs="Times New Roman"/>
          <w:i/>
          <w:iCs/>
        </w:rPr>
        <w:t>Granfinanciera</w:t>
      </w:r>
      <w:proofErr w:type="spellEnd"/>
      <w:r w:rsidRPr="004A76D4">
        <w:rPr>
          <w:rFonts w:ascii="Times New Roman" w:hAnsi="Times New Roman" w:cs="Times New Roman"/>
        </w:rPr>
        <w:t xml:space="preserve"> factors</w:t>
      </w:r>
      <w:r w:rsidR="00A90CB5" w:rsidRPr="004A76D4">
        <w:rPr>
          <w:rFonts w:ascii="Times New Roman" w:hAnsi="Times New Roman" w:cs="Times New Roman"/>
        </w:rPr>
        <w:t xml:space="preserve">, beginning </w:t>
      </w:r>
      <w:r w:rsidR="003F2A48" w:rsidRPr="004A76D4">
        <w:rPr>
          <w:rFonts w:ascii="Times New Roman" w:hAnsi="Times New Roman" w:cs="Times New Roman"/>
        </w:rPr>
        <w:t xml:space="preserve">by characterizing the </w:t>
      </w:r>
      <w:r w:rsidR="00E2009A" w:rsidRPr="004A76D4">
        <w:rPr>
          <w:rFonts w:ascii="Times New Roman" w:hAnsi="Times New Roman" w:cs="Times New Roman"/>
        </w:rPr>
        <w:t>oil removal costs as a “recoupment claim.”</w:t>
      </w:r>
      <w:r w:rsidR="00E67A6B" w:rsidRPr="004A76D4">
        <w:rPr>
          <w:rStyle w:val="FootnoteReference"/>
          <w:rFonts w:ascii="Times New Roman" w:hAnsi="Times New Roman" w:cs="Times New Roman"/>
        </w:rPr>
        <w:footnoteReference w:id="19"/>
      </w:r>
      <w:r w:rsidR="005E328E" w:rsidRPr="004A76D4">
        <w:rPr>
          <w:rFonts w:ascii="Times New Roman" w:hAnsi="Times New Roman" w:cs="Times New Roman"/>
        </w:rPr>
        <w:t xml:space="preserve">  </w:t>
      </w:r>
      <w:r w:rsidR="00657EE3" w:rsidRPr="004A76D4">
        <w:rPr>
          <w:rFonts w:ascii="Times New Roman" w:hAnsi="Times New Roman" w:cs="Times New Roman"/>
        </w:rPr>
        <w:t xml:space="preserve">The </w:t>
      </w:r>
      <w:r w:rsidR="00F3254D" w:rsidRPr="004A76D4">
        <w:rPr>
          <w:rFonts w:ascii="Times New Roman" w:hAnsi="Times New Roman" w:cs="Times New Roman"/>
        </w:rPr>
        <w:t xml:space="preserve">court analogizes the OPA </w:t>
      </w:r>
      <w:r w:rsidR="00980BD0" w:rsidRPr="004A76D4">
        <w:rPr>
          <w:rFonts w:ascii="Times New Roman" w:hAnsi="Times New Roman" w:cs="Times New Roman"/>
        </w:rPr>
        <w:t>oil removal cost claim to common law trespass, trespass on the case, or assump</w:t>
      </w:r>
      <w:r w:rsidR="006221DE" w:rsidRPr="004A76D4">
        <w:rPr>
          <w:rFonts w:ascii="Times New Roman" w:hAnsi="Times New Roman" w:cs="Times New Roman"/>
        </w:rPr>
        <w:t>sit quasi-contract claims.</w:t>
      </w:r>
      <w:r w:rsidR="00E43B67" w:rsidRPr="004A76D4">
        <w:rPr>
          <w:rFonts w:ascii="Times New Roman" w:hAnsi="Times New Roman" w:cs="Times New Roman"/>
        </w:rPr>
        <w:t xml:space="preserve">  “</w:t>
      </w:r>
      <w:r w:rsidR="00E43B67" w:rsidRPr="004A76D4">
        <w:rPr>
          <w:rFonts w:ascii="Times New Roman" w:hAnsi="Times New Roman" w:cs="Times New Roman"/>
        </w:rPr>
        <w:t>The OPA mimics these common-law options. The statute first creates a legal duty and then provides a right of action to compensate the injured party for a breach of that duty.</w:t>
      </w:r>
      <w:r w:rsidR="00E43B67" w:rsidRPr="004A76D4">
        <w:rPr>
          <w:rFonts w:ascii="Times New Roman" w:hAnsi="Times New Roman" w:cs="Times New Roman"/>
        </w:rPr>
        <w:t>”</w:t>
      </w:r>
      <w:r w:rsidR="00E43B67" w:rsidRPr="004A76D4">
        <w:rPr>
          <w:rStyle w:val="FootnoteReference"/>
          <w:rFonts w:ascii="Times New Roman" w:hAnsi="Times New Roman" w:cs="Times New Roman"/>
        </w:rPr>
        <w:footnoteReference w:id="20"/>
      </w:r>
      <w:r w:rsidR="008B65BF" w:rsidRPr="004A76D4">
        <w:rPr>
          <w:rFonts w:ascii="Times New Roman" w:hAnsi="Times New Roman" w:cs="Times New Roman"/>
        </w:rPr>
        <w:t xml:space="preserve"> The analogy goes further, “</w:t>
      </w:r>
      <w:r w:rsidR="008B65BF" w:rsidRPr="004A76D4">
        <w:rPr>
          <w:rFonts w:ascii="Times New Roman" w:hAnsi="Times New Roman" w:cs="Times New Roman"/>
        </w:rPr>
        <w:t>OPA even provides the same two options as the common law to get money: (1) an action for damages (akin to a writ of trespass or trespass on the case) or (2) an action for monetary restitution (akin to writ of assumpsit/quasi-contract).</w:t>
      </w:r>
      <w:r w:rsidR="008B65BF" w:rsidRPr="004A76D4">
        <w:rPr>
          <w:rFonts w:ascii="Times New Roman" w:hAnsi="Times New Roman" w:cs="Times New Roman"/>
        </w:rPr>
        <w:t>”</w:t>
      </w:r>
      <w:r w:rsidR="008B65BF" w:rsidRPr="004A76D4">
        <w:rPr>
          <w:rStyle w:val="FootnoteReference"/>
          <w:rFonts w:ascii="Times New Roman" w:hAnsi="Times New Roman" w:cs="Times New Roman"/>
        </w:rPr>
        <w:footnoteReference w:id="21"/>
      </w:r>
    </w:p>
    <w:p w14:paraId="0DD39A91" w14:textId="6465F6B4" w:rsidR="00693E85" w:rsidRPr="004A76D4" w:rsidRDefault="00B27F7A" w:rsidP="008F760B">
      <w:pPr>
        <w:rPr>
          <w:rFonts w:ascii="Times New Roman" w:hAnsi="Times New Roman" w:cs="Times New Roman"/>
        </w:rPr>
      </w:pPr>
      <w:r w:rsidRPr="004A76D4">
        <w:rPr>
          <w:rFonts w:ascii="Times New Roman" w:hAnsi="Times New Roman" w:cs="Times New Roman"/>
        </w:rPr>
        <w:t>Next, it add</w:t>
      </w:r>
      <w:r w:rsidR="00C24430" w:rsidRPr="004A76D4">
        <w:rPr>
          <w:rFonts w:ascii="Times New Roman" w:hAnsi="Times New Roman" w:cs="Times New Roman"/>
        </w:rPr>
        <w:t>ressed the character of this remedy</w:t>
      </w:r>
      <w:r w:rsidR="00D91311" w:rsidRPr="004A76D4">
        <w:rPr>
          <w:rFonts w:ascii="Times New Roman" w:hAnsi="Times New Roman" w:cs="Times New Roman"/>
        </w:rPr>
        <w:t xml:space="preserve">, which it too treated as the more important factor.  </w:t>
      </w:r>
      <w:r w:rsidR="00FC1E0C" w:rsidRPr="004A76D4">
        <w:rPr>
          <w:rFonts w:ascii="Times New Roman" w:hAnsi="Times New Roman" w:cs="Times New Roman"/>
        </w:rPr>
        <w:t xml:space="preserve">Parting ways with the </w:t>
      </w:r>
      <w:r w:rsidR="00161BEF" w:rsidRPr="004A76D4">
        <w:rPr>
          <w:rFonts w:ascii="Times New Roman" w:hAnsi="Times New Roman" w:cs="Times New Roman"/>
          <w:i/>
          <w:iCs/>
        </w:rPr>
        <w:t xml:space="preserve">Deepwater Horizon </w:t>
      </w:r>
      <w:r w:rsidR="00161BEF" w:rsidRPr="004A76D4">
        <w:rPr>
          <w:rFonts w:ascii="Times New Roman" w:hAnsi="Times New Roman" w:cs="Times New Roman"/>
        </w:rPr>
        <w:t xml:space="preserve">decision, the court did characterize the remedy as </w:t>
      </w:r>
      <w:proofErr w:type="spellStart"/>
      <w:r w:rsidR="00AA5C7A" w:rsidRPr="004A76D4">
        <w:rPr>
          <w:rFonts w:ascii="Times New Roman" w:hAnsi="Times New Roman" w:cs="Times New Roman"/>
        </w:rPr>
        <w:t>restitutionary</w:t>
      </w:r>
      <w:proofErr w:type="spellEnd"/>
      <w:r w:rsidR="00AA5C7A" w:rsidRPr="004A76D4">
        <w:rPr>
          <w:rFonts w:ascii="Times New Roman" w:hAnsi="Times New Roman" w:cs="Times New Roman"/>
        </w:rPr>
        <w:t>.</w:t>
      </w:r>
      <w:r w:rsidR="00663A5B" w:rsidRPr="004A76D4">
        <w:rPr>
          <w:rFonts w:ascii="Times New Roman" w:hAnsi="Times New Roman" w:cs="Times New Roman"/>
        </w:rPr>
        <w:t xml:space="preserve">  Carrying forward the discussion of </w:t>
      </w:r>
      <w:r w:rsidR="0063720F" w:rsidRPr="004A76D4">
        <w:rPr>
          <w:rFonts w:ascii="Times New Roman" w:hAnsi="Times New Roman" w:cs="Times New Roman"/>
        </w:rPr>
        <w:t xml:space="preserve">actions under a writ of assumpsit, the Court concluded that oil removal costs are </w:t>
      </w:r>
      <w:r w:rsidR="00D4329F" w:rsidRPr="004A76D4">
        <w:rPr>
          <w:rFonts w:ascii="Times New Roman" w:hAnsi="Times New Roman" w:cs="Times New Roman"/>
        </w:rPr>
        <w:t xml:space="preserve">a personal liability </w:t>
      </w:r>
      <w:r w:rsidR="00813DEC" w:rsidRPr="004A76D4">
        <w:rPr>
          <w:rFonts w:ascii="Times New Roman" w:hAnsi="Times New Roman" w:cs="Times New Roman"/>
        </w:rPr>
        <w:t>not</w:t>
      </w:r>
      <w:r w:rsidR="007A62D7" w:rsidRPr="004A76D4">
        <w:rPr>
          <w:rFonts w:ascii="Times New Roman" w:hAnsi="Times New Roman" w:cs="Times New Roman"/>
        </w:rPr>
        <w:t xml:space="preserve"> a property interest akin to those addressed by equitable restitution:</w:t>
      </w:r>
    </w:p>
    <w:p w14:paraId="2E080E15" w14:textId="3042059B" w:rsidR="007A62D7" w:rsidRPr="004A76D4" w:rsidRDefault="007A62D7" w:rsidP="007A62D7">
      <w:pPr>
        <w:ind w:left="720" w:right="720"/>
        <w:jc w:val="both"/>
        <w:rPr>
          <w:rFonts w:ascii="Times New Roman" w:hAnsi="Times New Roman" w:cs="Times New Roman"/>
        </w:rPr>
      </w:pPr>
      <w:r w:rsidRPr="004A76D4">
        <w:rPr>
          <w:rFonts w:ascii="Times New Roman" w:hAnsi="Times New Roman" w:cs="Times New Roman"/>
        </w:rPr>
        <w:t xml:space="preserve">The removal costs are most analogous to restitution at law. The Government isn't seeking particular property or funds in the defendant's possession caused by the wrongdoing. Nor is the Government seeking ERR's “net profits” caused by the oil spill. </w:t>
      </w:r>
      <w:proofErr w:type="gramStart"/>
      <w:r w:rsidRPr="004A76D4">
        <w:rPr>
          <w:rFonts w:ascii="Times New Roman" w:hAnsi="Times New Roman" w:cs="Times New Roman"/>
        </w:rPr>
        <w:t>So</w:t>
      </w:r>
      <w:proofErr w:type="gramEnd"/>
      <w:r w:rsidRPr="004A76D4">
        <w:rPr>
          <w:rFonts w:ascii="Times New Roman" w:hAnsi="Times New Roman" w:cs="Times New Roman"/>
        </w:rPr>
        <w:t xml:space="preserve"> the unjust-enrichment remedy here is akin to restitution at law.</w:t>
      </w:r>
      <w:r w:rsidRPr="004A76D4">
        <w:rPr>
          <w:rStyle w:val="FootnoteReference"/>
          <w:rFonts w:ascii="Times New Roman" w:hAnsi="Times New Roman" w:cs="Times New Roman"/>
        </w:rPr>
        <w:footnoteReference w:id="22"/>
      </w:r>
    </w:p>
    <w:p w14:paraId="0611086F" w14:textId="4888B52A" w:rsidR="007A62D7" w:rsidRPr="004A76D4" w:rsidRDefault="002F760A" w:rsidP="007A62D7">
      <w:pPr>
        <w:rPr>
          <w:rFonts w:ascii="Times New Roman" w:hAnsi="Times New Roman" w:cs="Times New Roman"/>
        </w:rPr>
      </w:pPr>
      <w:r w:rsidRPr="004A76D4">
        <w:rPr>
          <w:rFonts w:ascii="Times New Roman" w:hAnsi="Times New Roman" w:cs="Times New Roman"/>
        </w:rPr>
        <w:t xml:space="preserve">The court </w:t>
      </w:r>
      <w:r w:rsidR="002A60CD" w:rsidRPr="004A76D4">
        <w:rPr>
          <w:rFonts w:ascii="Times New Roman" w:hAnsi="Times New Roman" w:cs="Times New Roman"/>
        </w:rPr>
        <w:t>addressed</w:t>
      </w:r>
      <w:r w:rsidR="009776AA" w:rsidRPr="004A76D4">
        <w:rPr>
          <w:rFonts w:ascii="Times New Roman" w:hAnsi="Times New Roman" w:cs="Times New Roman"/>
        </w:rPr>
        <w:t xml:space="preserve"> the subrogation claim in a single sentence, concl</w:t>
      </w:r>
      <w:r w:rsidR="00DF45D3" w:rsidRPr="004A76D4">
        <w:rPr>
          <w:rFonts w:ascii="Times New Roman" w:hAnsi="Times New Roman" w:cs="Times New Roman"/>
        </w:rPr>
        <w:t xml:space="preserve">uding that because </w:t>
      </w:r>
      <w:r w:rsidR="00760311" w:rsidRPr="004A76D4">
        <w:rPr>
          <w:rFonts w:ascii="Times New Roman" w:hAnsi="Times New Roman" w:cs="Times New Roman"/>
        </w:rPr>
        <w:t xml:space="preserve">it is intertwined with the “recoupment” claim, </w:t>
      </w:r>
      <w:r w:rsidR="00B82C4D" w:rsidRPr="004A76D4">
        <w:rPr>
          <w:rFonts w:ascii="Times New Roman" w:hAnsi="Times New Roman" w:cs="Times New Roman"/>
        </w:rPr>
        <w:t>the right to a jury trial reaches both.</w:t>
      </w:r>
    </w:p>
    <w:p w14:paraId="6D68743A" w14:textId="558060CA" w:rsidR="00B82C4D" w:rsidRPr="004A76D4" w:rsidRDefault="00B82C4D" w:rsidP="007A62D7">
      <w:pPr>
        <w:rPr>
          <w:rFonts w:ascii="Times New Roman" w:hAnsi="Times New Roman" w:cs="Times New Roman"/>
        </w:rPr>
      </w:pPr>
      <w:r w:rsidRPr="004A76D4">
        <w:rPr>
          <w:rFonts w:ascii="Times New Roman" w:hAnsi="Times New Roman" w:cs="Times New Roman"/>
          <w:b/>
          <w:bCs/>
        </w:rPr>
        <w:t>Concluding Thoughts</w:t>
      </w:r>
    </w:p>
    <w:p w14:paraId="6BE4DE45" w14:textId="1E4675B4" w:rsidR="00B82C4D" w:rsidRPr="004A76D4" w:rsidRDefault="008B1876" w:rsidP="007A62D7">
      <w:pPr>
        <w:rPr>
          <w:rFonts w:ascii="Times New Roman" w:hAnsi="Times New Roman" w:cs="Times New Roman"/>
        </w:rPr>
      </w:pPr>
      <w:r w:rsidRPr="004A76D4">
        <w:rPr>
          <w:rFonts w:ascii="Times New Roman" w:hAnsi="Times New Roman" w:cs="Times New Roman"/>
        </w:rPr>
        <w:t xml:space="preserve">The Fifth Circuits decision in ERR </w:t>
      </w:r>
      <w:r w:rsidR="00964A48" w:rsidRPr="004A76D4">
        <w:rPr>
          <w:rFonts w:ascii="Times New Roman" w:hAnsi="Times New Roman" w:cs="Times New Roman"/>
        </w:rPr>
        <w:t xml:space="preserve">on the availability of a jury trial in </w:t>
      </w:r>
      <w:r w:rsidR="00122F77" w:rsidRPr="004A76D4">
        <w:rPr>
          <w:rFonts w:ascii="Times New Roman" w:hAnsi="Times New Roman" w:cs="Times New Roman"/>
        </w:rPr>
        <w:t>actions under OPA</w:t>
      </w:r>
      <w:r w:rsidR="0068722D" w:rsidRPr="004A76D4">
        <w:rPr>
          <w:rFonts w:ascii="Times New Roman" w:hAnsi="Times New Roman" w:cs="Times New Roman"/>
        </w:rPr>
        <w:t>, like many Seventh Amendment cases, rest</w:t>
      </w:r>
      <w:r w:rsidR="002A60CD" w:rsidRPr="004A76D4">
        <w:rPr>
          <w:rFonts w:ascii="Times New Roman" w:hAnsi="Times New Roman" w:cs="Times New Roman"/>
        </w:rPr>
        <w:t>s on</w:t>
      </w:r>
      <w:r w:rsidR="0068722D" w:rsidRPr="004A76D4">
        <w:rPr>
          <w:rFonts w:ascii="Times New Roman" w:hAnsi="Times New Roman" w:cs="Times New Roman"/>
        </w:rPr>
        <w:t xml:space="preserve"> an analysis </w:t>
      </w:r>
      <w:r w:rsidR="00B95C78" w:rsidRPr="004A76D4">
        <w:rPr>
          <w:rFonts w:ascii="Times New Roman" w:hAnsi="Times New Roman" w:cs="Times New Roman"/>
        </w:rPr>
        <w:t xml:space="preserve">of a modern statutory liability scheme in a counter-factual world where </w:t>
      </w:r>
      <w:r w:rsidR="007F1B25" w:rsidRPr="004A76D4">
        <w:rPr>
          <w:rFonts w:ascii="Times New Roman" w:hAnsi="Times New Roman" w:cs="Times New Roman"/>
        </w:rPr>
        <w:t>law and equity</w:t>
      </w:r>
      <w:r w:rsidR="000309A0" w:rsidRPr="004A76D4">
        <w:rPr>
          <w:rFonts w:ascii="Times New Roman" w:hAnsi="Times New Roman" w:cs="Times New Roman"/>
        </w:rPr>
        <w:t xml:space="preserve"> did not merge</w:t>
      </w:r>
      <w:r w:rsidR="00A81F6F" w:rsidRPr="004A76D4">
        <w:rPr>
          <w:rFonts w:ascii="Times New Roman" w:hAnsi="Times New Roman" w:cs="Times New Roman"/>
        </w:rPr>
        <w:t xml:space="preserve">.  As the 1938 merger </w:t>
      </w:r>
      <w:r w:rsidR="0008327C" w:rsidRPr="004A76D4">
        <w:rPr>
          <w:rFonts w:ascii="Times New Roman" w:hAnsi="Times New Roman" w:cs="Times New Roman"/>
        </w:rPr>
        <w:t>recedes ever farther</w:t>
      </w:r>
      <w:r w:rsidR="00C47D5E" w:rsidRPr="004A76D4">
        <w:rPr>
          <w:rFonts w:ascii="Times New Roman" w:hAnsi="Times New Roman" w:cs="Times New Roman"/>
        </w:rPr>
        <w:t xml:space="preserve"> over the horizon of the past, </w:t>
      </w:r>
      <w:r w:rsidR="000F3424" w:rsidRPr="004A76D4">
        <w:rPr>
          <w:rFonts w:ascii="Times New Roman" w:hAnsi="Times New Roman" w:cs="Times New Roman"/>
        </w:rPr>
        <w:t xml:space="preserve">attempts by </w:t>
      </w:r>
      <w:r w:rsidR="002E444E" w:rsidRPr="004A76D4">
        <w:rPr>
          <w:rFonts w:ascii="Times New Roman" w:hAnsi="Times New Roman" w:cs="Times New Roman"/>
        </w:rPr>
        <w:t>practitioners and ju</w:t>
      </w:r>
      <w:r w:rsidR="00710BB7" w:rsidRPr="004A76D4">
        <w:rPr>
          <w:rFonts w:ascii="Times New Roman" w:hAnsi="Times New Roman" w:cs="Times New Roman"/>
        </w:rPr>
        <w:t>dges</w:t>
      </w:r>
      <w:r w:rsidR="00C47D5E" w:rsidRPr="004A76D4">
        <w:rPr>
          <w:rFonts w:ascii="Times New Roman" w:hAnsi="Times New Roman" w:cs="Times New Roman"/>
        </w:rPr>
        <w:t xml:space="preserve"> </w:t>
      </w:r>
      <w:r w:rsidR="00EB45E9" w:rsidRPr="004A76D4">
        <w:rPr>
          <w:rFonts w:ascii="Times New Roman" w:hAnsi="Times New Roman" w:cs="Times New Roman"/>
        </w:rPr>
        <w:t xml:space="preserve">to describe modern law in antiquated terms becomes </w:t>
      </w:r>
      <w:r w:rsidR="00840339" w:rsidRPr="004A76D4">
        <w:rPr>
          <w:rFonts w:ascii="Times New Roman" w:hAnsi="Times New Roman" w:cs="Times New Roman"/>
        </w:rPr>
        <w:t xml:space="preserve">an </w:t>
      </w:r>
      <w:r w:rsidR="00EB45E9" w:rsidRPr="004A76D4">
        <w:rPr>
          <w:rFonts w:ascii="Times New Roman" w:hAnsi="Times New Roman" w:cs="Times New Roman"/>
        </w:rPr>
        <w:t xml:space="preserve">increasing </w:t>
      </w:r>
      <w:r w:rsidR="00840339" w:rsidRPr="004A76D4">
        <w:rPr>
          <w:rFonts w:ascii="Times New Roman" w:hAnsi="Times New Roman" w:cs="Times New Roman"/>
        </w:rPr>
        <w:t>speculative endeavor.</w:t>
      </w:r>
      <w:r w:rsidR="00596B9B" w:rsidRPr="004A76D4">
        <w:rPr>
          <w:rStyle w:val="FootnoteReference"/>
          <w:rFonts w:ascii="Times New Roman" w:hAnsi="Times New Roman" w:cs="Times New Roman"/>
        </w:rPr>
        <w:footnoteReference w:id="23"/>
      </w:r>
      <w:r w:rsidR="00840339" w:rsidRPr="004A76D4">
        <w:rPr>
          <w:rFonts w:ascii="Times New Roman" w:hAnsi="Times New Roman" w:cs="Times New Roman"/>
        </w:rPr>
        <w:t xml:space="preserve">  </w:t>
      </w:r>
      <w:r w:rsidR="00B503AE" w:rsidRPr="004A76D4">
        <w:rPr>
          <w:rFonts w:ascii="Times New Roman" w:hAnsi="Times New Roman" w:cs="Times New Roman"/>
        </w:rPr>
        <w:t xml:space="preserve">The decision in </w:t>
      </w:r>
      <w:r w:rsidR="00B503AE" w:rsidRPr="004A76D4">
        <w:rPr>
          <w:rFonts w:ascii="Times New Roman" w:hAnsi="Times New Roman" w:cs="Times New Roman"/>
          <w:i/>
          <w:iCs/>
        </w:rPr>
        <w:t>ERR</w:t>
      </w:r>
      <w:r w:rsidR="00B503AE" w:rsidRPr="004A76D4">
        <w:rPr>
          <w:rFonts w:ascii="Times New Roman" w:hAnsi="Times New Roman" w:cs="Times New Roman"/>
        </w:rPr>
        <w:t xml:space="preserve"> raises the possibility that </w:t>
      </w:r>
      <w:r w:rsidR="003507C3" w:rsidRPr="004A76D4">
        <w:rPr>
          <w:rFonts w:ascii="Times New Roman" w:hAnsi="Times New Roman" w:cs="Times New Roman"/>
        </w:rPr>
        <w:t xml:space="preserve">the “avalanche” of authority </w:t>
      </w:r>
      <w:r w:rsidR="00617445" w:rsidRPr="004A76D4">
        <w:rPr>
          <w:rFonts w:ascii="Times New Roman" w:hAnsi="Times New Roman" w:cs="Times New Roman"/>
        </w:rPr>
        <w:t xml:space="preserve">characterizing CERCLA cost actions </w:t>
      </w:r>
      <w:r w:rsidR="00B503AE" w:rsidRPr="004A76D4">
        <w:rPr>
          <w:rFonts w:ascii="Times New Roman" w:hAnsi="Times New Roman" w:cs="Times New Roman"/>
        </w:rPr>
        <w:t xml:space="preserve">as equitable </w:t>
      </w:r>
      <w:r w:rsidR="00A34472" w:rsidRPr="004A76D4">
        <w:rPr>
          <w:rFonts w:ascii="Times New Roman" w:hAnsi="Times New Roman" w:cs="Times New Roman"/>
        </w:rPr>
        <w:t xml:space="preserve">in nature may be melting as a new generation </w:t>
      </w:r>
      <w:r w:rsidR="008D37A8" w:rsidRPr="004A76D4">
        <w:rPr>
          <w:rFonts w:ascii="Times New Roman" w:hAnsi="Times New Roman" w:cs="Times New Roman"/>
        </w:rPr>
        <w:t>considers the historical question</w:t>
      </w:r>
      <w:r w:rsidR="00565951" w:rsidRPr="004A76D4">
        <w:rPr>
          <w:rFonts w:ascii="Times New Roman" w:hAnsi="Times New Roman" w:cs="Times New Roman"/>
        </w:rPr>
        <w:t xml:space="preserve">.  </w:t>
      </w:r>
    </w:p>
    <w:sectPr w:rsidR="00B82C4D" w:rsidRPr="004A76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9429" w14:textId="77777777" w:rsidR="00B02D77" w:rsidRDefault="00B02D77" w:rsidP="005D3E78">
      <w:pPr>
        <w:spacing w:after="0" w:line="240" w:lineRule="auto"/>
      </w:pPr>
      <w:r>
        <w:separator/>
      </w:r>
    </w:p>
  </w:endnote>
  <w:endnote w:type="continuationSeparator" w:id="0">
    <w:p w14:paraId="7CC84308" w14:textId="77777777" w:rsidR="00B02D77" w:rsidRDefault="00B02D77" w:rsidP="005D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AC1D" w14:textId="77777777" w:rsidR="00B02D77" w:rsidRDefault="00B02D77" w:rsidP="005D3E78">
      <w:pPr>
        <w:spacing w:after="0" w:line="240" w:lineRule="auto"/>
      </w:pPr>
      <w:r>
        <w:separator/>
      </w:r>
    </w:p>
  </w:footnote>
  <w:footnote w:type="continuationSeparator" w:id="0">
    <w:p w14:paraId="5CA2614A" w14:textId="77777777" w:rsidR="00B02D77" w:rsidRDefault="00B02D77" w:rsidP="005D3E78">
      <w:pPr>
        <w:spacing w:after="0" w:line="240" w:lineRule="auto"/>
      </w:pPr>
      <w:r>
        <w:continuationSeparator/>
      </w:r>
    </w:p>
  </w:footnote>
  <w:footnote w:id="1">
    <w:p w14:paraId="5592B3CE" w14:textId="66801D1A" w:rsidR="005D3E78" w:rsidRPr="004A76D4" w:rsidRDefault="005D3E78">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The views expressed in these materials are those of the author and do not reflect the position of the United States, Commandant of the Coast </w:t>
      </w:r>
      <w:proofErr w:type="gramStart"/>
      <w:r w:rsidRPr="004A76D4">
        <w:rPr>
          <w:rFonts w:ascii="Times New Roman" w:hAnsi="Times New Roman" w:cs="Times New Roman"/>
        </w:rPr>
        <w:t>Guard</w:t>
      </w:r>
      <w:proofErr w:type="gramEnd"/>
      <w:r w:rsidRPr="004A76D4">
        <w:rPr>
          <w:rFonts w:ascii="Times New Roman" w:hAnsi="Times New Roman" w:cs="Times New Roman"/>
        </w:rPr>
        <w:t xml:space="preserve"> or the National Pollution Funds Center.</w:t>
      </w:r>
    </w:p>
  </w:footnote>
  <w:footnote w:id="2">
    <w:p w14:paraId="471C190E" w14:textId="68FB96D5" w:rsidR="00C93C15" w:rsidRPr="004A76D4" w:rsidRDefault="00C93C15">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33 U.S.C. § 2712(a)(4) and § 2713(e).</w:t>
      </w:r>
    </w:p>
  </w:footnote>
  <w:footnote w:id="3">
    <w:p w14:paraId="1593E171" w14:textId="56D6EB6F" w:rsidR="00C27D22" w:rsidRPr="004A76D4" w:rsidRDefault="00C27D22">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33 U.S.C. § 2713(f).</w:t>
      </w:r>
    </w:p>
  </w:footnote>
  <w:footnote w:id="4">
    <w:p w14:paraId="3BE9E60D" w14:textId="709DD64B" w:rsidR="0045205C" w:rsidRPr="004A76D4" w:rsidRDefault="0045205C" w:rsidP="0045205C">
      <w:pPr>
        <w:rPr>
          <w:rFonts w:ascii="Times New Roman" w:hAnsi="Times New Roman" w:cs="Times New Roman"/>
          <w:sz w:val="20"/>
          <w:szCs w:val="20"/>
        </w:rPr>
      </w:pPr>
      <w:r w:rsidRPr="004A76D4">
        <w:rPr>
          <w:rStyle w:val="FootnoteReference"/>
          <w:rFonts w:ascii="Times New Roman" w:hAnsi="Times New Roman" w:cs="Times New Roman"/>
          <w:sz w:val="20"/>
          <w:szCs w:val="20"/>
        </w:rPr>
        <w:footnoteRef/>
      </w:r>
      <w:r w:rsidRPr="004A76D4">
        <w:rPr>
          <w:rFonts w:ascii="Times New Roman" w:hAnsi="Times New Roman" w:cs="Times New Roman"/>
          <w:sz w:val="20"/>
          <w:szCs w:val="20"/>
        </w:rPr>
        <w:t xml:space="preserve"> 35 F.4th 405, 413 (5th Cir. 2022)</w:t>
      </w:r>
    </w:p>
  </w:footnote>
  <w:footnote w:id="5">
    <w:p w14:paraId="4FC6D38A" w14:textId="2BEAC455" w:rsidR="00B63F40" w:rsidRPr="004A76D4" w:rsidRDefault="00B63F40">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w:t>
      </w:r>
      <w:r w:rsidRPr="004A76D4">
        <w:rPr>
          <w:rFonts w:ascii="Times New Roman" w:hAnsi="Times New Roman" w:cs="Times New Roman"/>
          <w:i/>
          <w:iCs/>
        </w:rPr>
        <w:t>See In re Deepwater Horizon</w:t>
      </w:r>
      <w:r w:rsidRPr="004A76D4">
        <w:rPr>
          <w:rFonts w:ascii="Times New Roman" w:hAnsi="Times New Roman" w:cs="Times New Roman"/>
        </w:rPr>
        <w:t xml:space="preserve">, 98 F. Supp. 3d at 877–83; </w:t>
      </w:r>
      <w:r w:rsidRPr="004A76D4">
        <w:rPr>
          <w:rFonts w:ascii="Times New Roman" w:hAnsi="Times New Roman" w:cs="Times New Roman"/>
          <w:i/>
          <w:iCs/>
        </w:rPr>
        <w:t>and Viking Resources, Inc.</w:t>
      </w:r>
      <w:r w:rsidRPr="004A76D4">
        <w:rPr>
          <w:rFonts w:ascii="Times New Roman" w:hAnsi="Times New Roman" w:cs="Times New Roman"/>
        </w:rPr>
        <w:t>, 607 F. Supp. 2d at 828–30.</w:t>
      </w:r>
    </w:p>
  </w:footnote>
  <w:footnote w:id="6">
    <w:p w14:paraId="1A951472" w14:textId="177422E4" w:rsidR="005C3AB4" w:rsidRPr="004A76D4" w:rsidRDefault="005C3AB4">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i/>
          <w:iCs/>
        </w:rPr>
        <w:t xml:space="preserve"> </w:t>
      </w:r>
      <w:r w:rsidRPr="004A76D4">
        <w:rPr>
          <w:rFonts w:ascii="Times New Roman" w:hAnsi="Times New Roman" w:cs="Times New Roman"/>
          <w:i/>
          <w:iCs/>
        </w:rPr>
        <w:t>United States v. Viking Res., Inc.</w:t>
      </w:r>
      <w:r w:rsidRPr="004A76D4">
        <w:rPr>
          <w:rFonts w:ascii="Times New Roman" w:hAnsi="Times New Roman" w:cs="Times New Roman"/>
        </w:rPr>
        <w:t>, 607 F. Supp. 2d 808, 813 (S.D. Tex. 2009)</w:t>
      </w:r>
    </w:p>
  </w:footnote>
  <w:footnote w:id="7">
    <w:p w14:paraId="18071378" w14:textId="4C73F5A6" w:rsidR="00E7543B" w:rsidRPr="004A76D4" w:rsidRDefault="00E7543B" w:rsidP="00595D1F">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Two earlier cases </w:t>
      </w:r>
      <w:r w:rsidR="001F5504" w:rsidRPr="004A76D4">
        <w:rPr>
          <w:rFonts w:ascii="Times New Roman" w:hAnsi="Times New Roman" w:cs="Times New Roman"/>
        </w:rPr>
        <w:t xml:space="preserve">had addressed distinguishable </w:t>
      </w:r>
      <w:r w:rsidR="00595D1F" w:rsidRPr="004A76D4">
        <w:rPr>
          <w:rFonts w:ascii="Times New Roman" w:hAnsi="Times New Roman" w:cs="Times New Roman"/>
        </w:rPr>
        <w:t xml:space="preserve">requests for jury trials under OPA. </w:t>
      </w:r>
      <w:r w:rsidR="00595D1F" w:rsidRPr="004A76D4">
        <w:rPr>
          <w:rFonts w:ascii="Times New Roman" w:hAnsi="Times New Roman" w:cs="Times New Roman"/>
          <w:i/>
          <w:iCs/>
        </w:rPr>
        <w:t>South Port Marine v. Gulf Oil</w:t>
      </w:r>
      <w:r w:rsidR="00595D1F" w:rsidRPr="004A76D4">
        <w:rPr>
          <w:rFonts w:ascii="Times New Roman" w:hAnsi="Times New Roman" w:cs="Times New Roman"/>
        </w:rPr>
        <w:t>, 234 F.3d 58, 65 (1st Cir.2000)</w:t>
      </w:r>
      <w:r w:rsidR="00595D1F" w:rsidRPr="004A76D4">
        <w:rPr>
          <w:rFonts w:ascii="Times New Roman" w:hAnsi="Times New Roman" w:cs="Times New Roman"/>
        </w:rPr>
        <w:t xml:space="preserve"> and </w:t>
      </w:r>
      <w:r w:rsidR="00595D1F" w:rsidRPr="004A76D4">
        <w:rPr>
          <w:rFonts w:ascii="Times New Roman" w:hAnsi="Times New Roman" w:cs="Times New Roman"/>
          <w:i/>
          <w:iCs/>
        </w:rPr>
        <w:t>Clausen v. M/V NEW CARISSA</w:t>
      </w:r>
      <w:r w:rsidR="00595D1F" w:rsidRPr="004A76D4">
        <w:rPr>
          <w:rFonts w:ascii="Times New Roman" w:hAnsi="Times New Roman" w:cs="Times New Roman"/>
        </w:rPr>
        <w:t>, 171 F. Supp. 2d 1127, 1133 (D. Or. 2001)</w:t>
      </w:r>
      <w:r w:rsidR="00595D1F" w:rsidRPr="004A76D4">
        <w:rPr>
          <w:rFonts w:ascii="Times New Roman" w:hAnsi="Times New Roman" w:cs="Times New Roman"/>
        </w:rPr>
        <w:t>.</w:t>
      </w:r>
    </w:p>
  </w:footnote>
  <w:footnote w:id="8">
    <w:p w14:paraId="459821D1" w14:textId="0809A41B" w:rsidR="00F42B7A" w:rsidRPr="004A76D4" w:rsidRDefault="00F42B7A">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w:t>
      </w:r>
      <w:r w:rsidRPr="004A76D4">
        <w:rPr>
          <w:rFonts w:ascii="Times New Roman" w:hAnsi="Times New Roman" w:cs="Times New Roman"/>
        </w:rPr>
        <w:t>492 U.S. 33</w:t>
      </w:r>
      <w:r w:rsidRPr="004A76D4">
        <w:rPr>
          <w:rFonts w:ascii="Times New Roman" w:hAnsi="Times New Roman" w:cs="Times New Roman"/>
        </w:rPr>
        <w:t xml:space="preserve"> </w:t>
      </w:r>
      <w:r w:rsidRPr="004A76D4">
        <w:rPr>
          <w:rFonts w:ascii="Times New Roman" w:hAnsi="Times New Roman" w:cs="Times New Roman"/>
        </w:rPr>
        <w:t>(1989).</w:t>
      </w:r>
    </w:p>
  </w:footnote>
  <w:footnote w:id="9">
    <w:p w14:paraId="2A990EC9" w14:textId="3FF732DA" w:rsidR="00CC0140" w:rsidRPr="004A76D4" w:rsidRDefault="00CC0140">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w:t>
      </w:r>
      <w:r w:rsidRPr="004A76D4">
        <w:rPr>
          <w:rFonts w:ascii="Times New Roman" w:hAnsi="Times New Roman" w:cs="Times New Roman"/>
          <w:i/>
          <w:iCs/>
        </w:rPr>
        <w:t>United States v. Viking Res., Inc.</w:t>
      </w:r>
      <w:r w:rsidRPr="004A76D4">
        <w:rPr>
          <w:rFonts w:ascii="Times New Roman" w:hAnsi="Times New Roman" w:cs="Times New Roman"/>
        </w:rPr>
        <w:t>, 607 F. Supp. 2d 808, 830 (S.D. Tex. 2009)</w:t>
      </w:r>
    </w:p>
  </w:footnote>
  <w:footnote w:id="10">
    <w:p w14:paraId="718E13A3" w14:textId="4E1EB34D" w:rsidR="00EA3C64" w:rsidRPr="004A76D4" w:rsidRDefault="00EA3C64">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w:t>
      </w:r>
      <w:r w:rsidRPr="004A76D4">
        <w:rPr>
          <w:rFonts w:ascii="Times New Roman" w:hAnsi="Times New Roman" w:cs="Times New Roman"/>
          <w:i/>
          <w:iCs/>
        </w:rPr>
        <w:t>In re Oil Spill by the Oil Rig Deepwater Horizon in the Gulf of Mexico, on Apr. 20, 2010</w:t>
      </w:r>
      <w:r w:rsidRPr="004A76D4">
        <w:rPr>
          <w:rFonts w:ascii="Times New Roman" w:hAnsi="Times New Roman" w:cs="Times New Roman"/>
        </w:rPr>
        <w:t xml:space="preserve">, 98 F. Supp. 3d 872, </w:t>
      </w:r>
      <w:r w:rsidRPr="004A76D4">
        <w:rPr>
          <w:rFonts w:ascii="Times New Roman" w:hAnsi="Times New Roman" w:cs="Times New Roman"/>
        </w:rPr>
        <w:t xml:space="preserve">FN 14 </w:t>
      </w:r>
      <w:r w:rsidRPr="004A76D4">
        <w:rPr>
          <w:rFonts w:ascii="Times New Roman" w:hAnsi="Times New Roman" w:cs="Times New Roman"/>
        </w:rPr>
        <w:t>(E.D. La. 2015)</w:t>
      </w:r>
      <w:r w:rsidRPr="004A76D4">
        <w:rPr>
          <w:rFonts w:ascii="Times New Roman" w:hAnsi="Times New Roman" w:cs="Times New Roman"/>
        </w:rPr>
        <w:t>.</w:t>
      </w:r>
    </w:p>
  </w:footnote>
  <w:footnote w:id="11">
    <w:p w14:paraId="77EBCBE0" w14:textId="5A7CBCF3" w:rsidR="00352B16" w:rsidRPr="004A76D4" w:rsidRDefault="00352B16">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w:t>
      </w:r>
      <w:r w:rsidRPr="004A76D4">
        <w:rPr>
          <w:rFonts w:ascii="Times New Roman" w:hAnsi="Times New Roman" w:cs="Times New Roman"/>
          <w:i/>
          <w:iCs/>
        </w:rPr>
        <w:t>Id. at</w:t>
      </w:r>
      <w:r w:rsidRPr="004A76D4">
        <w:rPr>
          <w:rFonts w:ascii="Times New Roman" w:hAnsi="Times New Roman" w:cs="Times New Roman"/>
        </w:rPr>
        <w:t xml:space="preserve"> 880</w:t>
      </w:r>
      <w:r w:rsidRPr="004A76D4">
        <w:rPr>
          <w:rFonts w:ascii="Times New Roman" w:hAnsi="Times New Roman" w:cs="Times New Roman"/>
        </w:rPr>
        <w:t>.</w:t>
      </w:r>
    </w:p>
  </w:footnote>
  <w:footnote w:id="12">
    <w:p w14:paraId="20F676AE" w14:textId="65A9012E" w:rsidR="00CB479F" w:rsidRPr="004A76D4" w:rsidRDefault="00CB479F">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w:t>
      </w:r>
      <w:r w:rsidRPr="004A76D4">
        <w:rPr>
          <w:rFonts w:ascii="Times New Roman" w:hAnsi="Times New Roman" w:cs="Times New Roman"/>
        </w:rPr>
        <w:t>534 U.S. 204</w:t>
      </w:r>
      <w:r w:rsidRPr="004A76D4">
        <w:rPr>
          <w:rFonts w:ascii="Times New Roman" w:hAnsi="Times New Roman" w:cs="Times New Roman"/>
        </w:rPr>
        <w:t xml:space="preserve"> </w:t>
      </w:r>
      <w:r w:rsidRPr="004A76D4">
        <w:rPr>
          <w:rFonts w:ascii="Times New Roman" w:hAnsi="Times New Roman" w:cs="Times New Roman"/>
        </w:rPr>
        <w:t>(2002)</w:t>
      </w:r>
      <w:r w:rsidR="0085764C" w:rsidRPr="004A76D4">
        <w:rPr>
          <w:rFonts w:ascii="Times New Roman" w:hAnsi="Times New Roman" w:cs="Times New Roman"/>
        </w:rPr>
        <w:t>.</w:t>
      </w:r>
    </w:p>
  </w:footnote>
  <w:footnote w:id="13">
    <w:p w14:paraId="7C953B03" w14:textId="1CB1A238" w:rsidR="0085764C" w:rsidRPr="004A76D4" w:rsidRDefault="0085764C" w:rsidP="0085764C">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w:t>
      </w:r>
      <w:r w:rsidRPr="004A76D4">
        <w:rPr>
          <w:rFonts w:ascii="Times New Roman" w:hAnsi="Times New Roman" w:cs="Times New Roman"/>
          <w:i/>
          <w:iCs/>
        </w:rPr>
        <w:t>In re Oil Spill by the Oil Rig Deepwater Horizon in the Gulf of Mexico, on Apr. 20, 2010</w:t>
      </w:r>
      <w:r w:rsidRPr="004A76D4">
        <w:rPr>
          <w:rFonts w:ascii="Times New Roman" w:hAnsi="Times New Roman" w:cs="Times New Roman"/>
        </w:rPr>
        <w:t>, 98 F. Supp. 3d 872, 881 (E.D. La. 2015)</w:t>
      </w:r>
    </w:p>
  </w:footnote>
  <w:footnote w:id="14">
    <w:p w14:paraId="267C4B58" w14:textId="69D1B5F3" w:rsidR="00CC3CBA" w:rsidRPr="004A76D4" w:rsidRDefault="00CC3CBA">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w:t>
      </w:r>
      <w:r w:rsidRPr="004A76D4">
        <w:rPr>
          <w:rFonts w:ascii="Times New Roman" w:hAnsi="Times New Roman" w:cs="Times New Roman"/>
          <w:i/>
          <w:iCs/>
        </w:rPr>
        <w:t>Id</w:t>
      </w:r>
      <w:r w:rsidRPr="004A76D4">
        <w:rPr>
          <w:rFonts w:ascii="Times New Roman" w:hAnsi="Times New Roman" w:cs="Times New Roman"/>
        </w:rPr>
        <w:t>.</w:t>
      </w:r>
    </w:p>
  </w:footnote>
  <w:footnote w:id="15">
    <w:p w14:paraId="5EB7A15E" w14:textId="6933FAD2" w:rsidR="008B4730" w:rsidRPr="004A76D4" w:rsidRDefault="008B4730" w:rsidP="008B4730">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w:t>
      </w:r>
      <w:r w:rsidRPr="004A76D4">
        <w:rPr>
          <w:rFonts w:ascii="Times New Roman" w:hAnsi="Times New Roman" w:cs="Times New Roman"/>
          <w:i/>
          <w:iCs/>
        </w:rPr>
        <w:t>Id. at</w:t>
      </w:r>
      <w:r w:rsidRPr="004A76D4">
        <w:rPr>
          <w:rFonts w:ascii="Times New Roman" w:hAnsi="Times New Roman" w:cs="Times New Roman"/>
        </w:rPr>
        <w:t xml:space="preserve"> </w:t>
      </w:r>
      <w:r w:rsidRPr="004A76D4">
        <w:rPr>
          <w:rFonts w:ascii="Times New Roman" w:hAnsi="Times New Roman" w:cs="Times New Roman"/>
        </w:rPr>
        <w:t>88</w:t>
      </w:r>
      <w:r w:rsidRPr="004A76D4">
        <w:rPr>
          <w:rFonts w:ascii="Times New Roman" w:hAnsi="Times New Roman" w:cs="Times New Roman"/>
        </w:rPr>
        <w:t>2.</w:t>
      </w:r>
    </w:p>
  </w:footnote>
  <w:footnote w:id="16">
    <w:p w14:paraId="52B7E84E" w14:textId="42D18C17" w:rsidR="009B4B0F" w:rsidRPr="004A76D4" w:rsidRDefault="009B4B0F">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The Court also </w:t>
      </w:r>
      <w:r w:rsidR="00A20C6E" w:rsidRPr="004A76D4">
        <w:rPr>
          <w:rFonts w:ascii="Times New Roman" w:hAnsi="Times New Roman" w:cs="Times New Roman"/>
        </w:rPr>
        <w:t xml:space="preserve">declined to adopt BPs argument that </w:t>
      </w:r>
      <w:r w:rsidR="00A24126" w:rsidRPr="004A76D4">
        <w:rPr>
          <w:rFonts w:ascii="Times New Roman" w:hAnsi="Times New Roman" w:cs="Times New Roman"/>
        </w:rPr>
        <w:t xml:space="preserve">the action brought by a sovereign is </w:t>
      </w:r>
      <w:r w:rsidR="008C0578" w:rsidRPr="004A76D4">
        <w:rPr>
          <w:rFonts w:ascii="Times New Roman" w:hAnsi="Times New Roman" w:cs="Times New Roman"/>
        </w:rPr>
        <w:t xml:space="preserve">akin to one for lost taxes and did not merit jury trial on those grounds. </w:t>
      </w:r>
      <w:r w:rsidR="008C0578" w:rsidRPr="004A76D4">
        <w:rPr>
          <w:rFonts w:ascii="Times New Roman" w:hAnsi="Times New Roman" w:cs="Times New Roman"/>
          <w:i/>
          <w:iCs/>
        </w:rPr>
        <w:t>Id.</w:t>
      </w:r>
    </w:p>
  </w:footnote>
  <w:footnote w:id="17">
    <w:p w14:paraId="52A58AAD" w14:textId="6F044EEC" w:rsidR="000132A0" w:rsidRPr="004A76D4" w:rsidRDefault="000132A0" w:rsidP="00032A19">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w:t>
      </w:r>
      <w:r w:rsidR="00032A19" w:rsidRPr="004A76D4">
        <w:rPr>
          <w:rFonts w:ascii="Times New Roman" w:hAnsi="Times New Roman" w:cs="Times New Roman"/>
          <w:i/>
          <w:iCs/>
        </w:rPr>
        <w:t>United States v. E.R.R. LLC</w:t>
      </w:r>
      <w:r w:rsidR="00032A19" w:rsidRPr="004A76D4">
        <w:rPr>
          <w:rFonts w:ascii="Times New Roman" w:hAnsi="Times New Roman" w:cs="Times New Roman"/>
        </w:rPr>
        <w:t>, 417 F. Supp. 3d 789, 792 (E.D. La. 2019</w:t>
      </w:r>
      <w:r w:rsidR="00032A19" w:rsidRPr="004A76D4">
        <w:rPr>
          <w:rFonts w:ascii="Times New Roman" w:hAnsi="Times New Roman" w:cs="Times New Roman"/>
          <w:i/>
          <w:iCs/>
        </w:rPr>
        <w:t xml:space="preserve">), </w:t>
      </w:r>
      <w:proofErr w:type="spellStart"/>
      <w:r w:rsidR="00032A19" w:rsidRPr="004A76D4">
        <w:rPr>
          <w:rFonts w:ascii="Times New Roman" w:hAnsi="Times New Roman" w:cs="Times New Roman"/>
          <w:i/>
          <w:iCs/>
        </w:rPr>
        <w:t>rev'd</w:t>
      </w:r>
      <w:proofErr w:type="spellEnd"/>
      <w:r w:rsidR="00032A19" w:rsidRPr="004A76D4">
        <w:rPr>
          <w:rFonts w:ascii="Times New Roman" w:hAnsi="Times New Roman" w:cs="Times New Roman"/>
          <w:i/>
          <w:iCs/>
        </w:rPr>
        <w:t xml:space="preserve"> in part, vacated in part sub nom. United States v. ERR, LLC</w:t>
      </w:r>
      <w:r w:rsidR="00032A19" w:rsidRPr="004A76D4">
        <w:rPr>
          <w:rFonts w:ascii="Times New Roman" w:hAnsi="Times New Roman" w:cs="Times New Roman"/>
        </w:rPr>
        <w:t>, 35 F.4th 405 (5th Cir. 2022).</w:t>
      </w:r>
    </w:p>
  </w:footnote>
  <w:footnote w:id="18">
    <w:p w14:paraId="762B8AA1" w14:textId="1568B9E6" w:rsidR="008F760B" w:rsidRPr="004A76D4" w:rsidRDefault="008F760B">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w:t>
      </w:r>
      <w:r w:rsidRPr="004A76D4">
        <w:rPr>
          <w:rFonts w:ascii="Times New Roman" w:hAnsi="Times New Roman" w:cs="Times New Roman"/>
          <w:i/>
          <w:iCs/>
        </w:rPr>
        <w:t>United States v. ERR</w:t>
      </w:r>
      <w:r w:rsidRPr="004A76D4">
        <w:rPr>
          <w:rFonts w:ascii="Times New Roman" w:hAnsi="Times New Roman" w:cs="Times New Roman"/>
        </w:rPr>
        <w:t>, LLC, 35 F.4th 405, 410 (5th Cir. 2022)</w:t>
      </w:r>
    </w:p>
  </w:footnote>
  <w:footnote w:id="19">
    <w:p w14:paraId="7368E2DB" w14:textId="1942194F" w:rsidR="00E67A6B" w:rsidRPr="004A76D4" w:rsidRDefault="00E67A6B" w:rsidP="0095238D">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This is an interesting choice of terminology because </w:t>
      </w:r>
      <w:r w:rsidR="00DE6C4D" w:rsidRPr="004A76D4">
        <w:rPr>
          <w:rFonts w:ascii="Times New Roman" w:hAnsi="Times New Roman" w:cs="Times New Roman"/>
        </w:rPr>
        <w:t>historically “recoupment”</w:t>
      </w:r>
      <w:r w:rsidR="000D6933" w:rsidRPr="004A76D4">
        <w:rPr>
          <w:rFonts w:ascii="Times New Roman" w:hAnsi="Times New Roman" w:cs="Times New Roman"/>
        </w:rPr>
        <w:t xml:space="preserve"> referred to claims </w:t>
      </w:r>
      <w:r w:rsidR="0095238D" w:rsidRPr="004A76D4">
        <w:rPr>
          <w:rFonts w:ascii="Times New Roman" w:hAnsi="Times New Roman" w:cs="Times New Roman"/>
        </w:rPr>
        <w:t xml:space="preserve">under a negotiable instrument, not in tort law. </w:t>
      </w:r>
      <w:r w:rsidR="001D6944" w:rsidRPr="004A76D4">
        <w:rPr>
          <w:rFonts w:ascii="Times New Roman" w:hAnsi="Times New Roman" w:cs="Times New Roman"/>
          <w:i/>
          <w:iCs/>
        </w:rPr>
        <w:t>Claim in</w:t>
      </w:r>
      <w:r w:rsidR="0095238D" w:rsidRPr="004A76D4">
        <w:rPr>
          <w:rFonts w:ascii="Times New Roman" w:hAnsi="Times New Roman" w:cs="Times New Roman"/>
          <w:i/>
          <w:iCs/>
        </w:rPr>
        <w:t xml:space="preserve"> R</w:t>
      </w:r>
      <w:r w:rsidR="001D6944" w:rsidRPr="004A76D4">
        <w:rPr>
          <w:rFonts w:ascii="Times New Roman" w:hAnsi="Times New Roman" w:cs="Times New Roman"/>
          <w:i/>
          <w:iCs/>
        </w:rPr>
        <w:t>ecoupment</w:t>
      </w:r>
      <w:r w:rsidR="0095238D" w:rsidRPr="004A76D4">
        <w:rPr>
          <w:rFonts w:ascii="Times New Roman" w:hAnsi="Times New Roman" w:cs="Times New Roman"/>
        </w:rPr>
        <w:t xml:space="preserve">, </w:t>
      </w:r>
      <w:r w:rsidR="0095238D" w:rsidRPr="004A76D4">
        <w:rPr>
          <w:rFonts w:ascii="Times New Roman" w:hAnsi="Times New Roman" w:cs="Times New Roman"/>
          <w:smallCaps/>
        </w:rPr>
        <w:t>Black's Law Dictionary</w:t>
      </w:r>
      <w:r w:rsidR="0095238D" w:rsidRPr="004A76D4">
        <w:rPr>
          <w:rFonts w:ascii="Times New Roman" w:hAnsi="Times New Roman" w:cs="Times New Roman"/>
        </w:rPr>
        <w:t xml:space="preserve"> (11th ed. 2019)</w:t>
      </w:r>
      <w:r w:rsidR="00BB4433" w:rsidRPr="004A76D4">
        <w:rPr>
          <w:rFonts w:ascii="Times New Roman" w:hAnsi="Times New Roman" w:cs="Times New Roman"/>
        </w:rPr>
        <w:t>.</w:t>
      </w:r>
    </w:p>
  </w:footnote>
  <w:footnote w:id="20">
    <w:p w14:paraId="09AD5B3B" w14:textId="624FE974" w:rsidR="00E43B67" w:rsidRPr="004A76D4" w:rsidRDefault="00E43B67" w:rsidP="00A23632">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w:t>
      </w:r>
      <w:r w:rsidR="00A23632" w:rsidRPr="004A76D4">
        <w:rPr>
          <w:rFonts w:ascii="Times New Roman" w:hAnsi="Times New Roman" w:cs="Times New Roman"/>
          <w:i/>
          <w:iCs/>
        </w:rPr>
        <w:t>United States v. ERR, LLC</w:t>
      </w:r>
      <w:r w:rsidR="00A23632" w:rsidRPr="004A76D4">
        <w:rPr>
          <w:rFonts w:ascii="Times New Roman" w:hAnsi="Times New Roman" w:cs="Times New Roman"/>
        </w:rPr>
        <w:t>, 35 F.4th 405, 412 (5th Cir. 2022)</w:t>
      </w:r>
    </w:p>
  </w:footnote>
  <w:footnote w:id="21">
    <w:p w14:paraId="69369679" w14:textId="6BFD620D" w:rsidR="008B65BF" w:rsidRPr="004A76D4" w:rsidRDefault="008B65BF">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w:t>
      </w:r>
      <w:r w:rsidRPr="004A76D4">
        <w:rPr>
          <w:rFonts w:ascii="Times New Roman" w:hAnsi="Times New Roman" w:cs="Times New Roman"/>
          <w:i/>
          <w:iCs/>
        </w:rPr>
        <w:t>Id.</w:t>
      </w:r>
    </w:p>
  </w:footnote>
  <w:footnote w:id="22">
    <w:p w14:paraId="6FDDE00D" w14:textId="3AD3D21B" w:rsidR="007A62D7" w:rsidRPr="004A76D4" w:rsidRDefault="007A62D7">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w:t>
      </w:r>
      <w:r w:rsidRPr="004A76D4">
        <w:rPr>
          <w:rFonts w:ascii="Times New Roman" w:hAnsi="Times New Roman" w:cs="Times New Roman"/>
          <w:i/>
          <w:iCs/>
        </w:rPr>
        <w:t xml:space="preserve">Id. </w:t>
      </w:r>
      <w:r w:rsidRPr="004A76D4">
        <w:rPr>
          <w:rFonts w:ascii="Times New Roman" w:hAnsi="Times New Roman" w:cs="Times New Roman"/>
        </w:rPr>
        <w:t>at 413.</w:t>
      </w:r>
    </w:p>
  </w:footnote>
  <w:footnote w:id="23">
    <w:p w14:paraId="15963285" w14:textId="39B8F920" w:rsidR="00596B9B" w:rsidRPr="004A76D4" w:rsidRDefault="00596B9B">
      <w:pPr>
        <w:pStyle w:val="FootnoteText"/>
        <w:rPr>
          <w:rFonts w:ascii="Times New Roman" w:hAnsi="Times New Roman" w:cs="Times New Roman"/>
        </w:rPr>
      </w:pPr>
      <w:r w:rsidRPr="004A76D4">
        <w:rPr>
          <w:rStyle w:val="FootnoteReference"/>
          <w:rFonts w:ascii="Times New Roman" w:hAnsi="Times New Roman" w:cs="Times New Roman"/>
        </w:rPr>
        <w:footnoteRef/>
      </w:r>
      <w:r w:rsidRPr="004A76D4">
        <w:rPr>
          <w:rFonts w:ascii="Times New Roman" w:hAnsi="Times New Roman" w:cs="Times New Roman"/>
        </w:rPr>
        <w:t xml:space="preserve"> Delaware, the </w:t>
      </w:r>
      <w:r w:rsidR="004A2C93" w:rsidRPr="004A76D4">
        <w:rPr>
          <w:rFonts w:ascii="Times New Roman" w:hAnsi="Times New Roman" w:cs="Times New Roman"/>
        </w:rPr>
        <w:t>one of the few states that</w:t>
      </w:r>
      <w:r w:rsidR="000110B3" w:rsidRPr="004A76D4">
        <w:rPr>
          <w:rFonts w:ascii="Times New Roman" w:hAnsi="Times New Roman" w:cs="Times New Roman"/>
        </w:rPr>
        <w:t xml:space="preserve"> maintained distinct courts of chancer</w:t>
      </w:r>
      <w:r w:rsidR="00206F75" w:rsidRPr="004A76D4">
        <w:rPr>
          <w:rFonts w:ascii="Times New Roman" w:hAnsi="Times New Roman" w:cs="Times New Roman"/>
        </w:rPr>
        <w:t>y,</w:t>
      </w:r>
      <w:r w:rsidR="00A914BC" w:rsidRPr="004A76D4">
        <w:rPr>
          <w:rFonts w:ascii="Times New Roman" w:hAnsi="Times New Roman" w:cs="Times New Roman"/>
        </w:rPr>
        <w:t xml:space="preserve"> characterizes oil removal costs as “damages</w:t>
      </w:r>
      <w:r w:rsidR="00FC4AE0" w:rsidRPr="004A76D4">
        <w:rPr>
          <w:rFonts w:ascii="Times New Roman" w:hAnsi="Times New Roman" w:cs="Times New Roman"/>
        </w:rPr>
        <w:t>.</w:t>
      </w:r>
      <w:r w:rsidR="00A914BC" w:rsidRPr="004A76D4">
        <w:rPr>
          <w:rFonts w:ascii="Times New Roman" w:hAnsi="Times New Roman" w:cs="Times New Roman"/>
        </w:rPr>
        <w:t>”</w:t>
      </w:r>
      <w:r w:rsidR="00FC4AE0" w:rsidRPr="004A76D4">
        <w:rPr>
          <w:rFonts w:ascii="Times New Roman" w:hAnsi="Times New Roman" w:cs="Times New Roman"/>
        </w:rPr>
        <w:t xml:space="preserve">  </w:t>
      </w:r>
      <w:r w:rsidR="00977245" w:rsidRPr="004A76D4">
        <w:rPr>
          <w:rFonts w:ascii="Times New Roman" w:hAnsi="Times New Roman" w:cs="Times New Roman"/>
        </w:rPr>
        <w:t xml:space="preserve">7 Del. C. § </w:t>
      </w:r>
      <w:r w:rsidR="000E6142" w:rsidRPr="004A76D4">
        <w:rPr>
          <w:rFonts w:ascii="Times New Roman" w:hAnsi="Times New Roman" w:cs="Times New Roman"/>
        </w:rPr>
        <w:t>6</w:t>
      </w:r>
      <w:r w:rsidR="00420B22" w:rsidRPr="004A76D4">
        <w:rPr>
          <w:rFonts w:ascii="Times New Roman" w:hAnsi="Times New Roman" w:cs="Times New Roman"/>
        </w:rPr>
        <w:t>2</w:t>
      </w:r>
      <w:r w:rsidR="000E6142" w:rsidRPr="004A76D4">
        <w:rPr>
          <w:rFonts w:ascii="Times New Roman" w:hAnsi="Times New Roman" w:cs="Times New Roman"/>
        </w:rPr>
        <w:t>0</w:t>
      </w:r>
      <w:r w:rsidR="00420B22" w:rsidRPr="004A76D4">
        <w:rPr>
          <w:rFonts w:ascii="Times New Roman" w:hAnsi="Times New Roman" w:cs="Times New Roman"/>
        </w:rPr>
        <w:t>7</w:t>
      </w:r>
      <w:r w:rsidR="000E6142" w:rsidRPr="004A76D4">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8F"/>
    <w:rsid w:val="00001944"/>
    <w:rsid w:val="000110B3"/>
    <w:rsid w:val="000132A0"/>
    <w:rsid w:val="0001468E"/>
    <w:rsid w:val="00016633"/>
    <w:rsid w:val="00016A9A"/>
    <w:rsid w:val="0001737D"/>
    <w:rsid w:val="00030889"/>
    <w:rsid w:val="000309A0"/>
    <w:rsid w:val="00032A19"/>
    <w:rsid w:val="00041A23"/>
    <w:rsid w:val="00047C0F"/>
    <w:rsid w:val="00053EAE"/>
    <w:rsid w:val="00060713"/>
    <w:rsid w:val="00062C9C"/>
    <w:rsid w:val="00081270"/>
    <w:rsid w:val="0008327C"/>
    <w:rsid w:val="00084A25"/>
    <w:rsid w:val="00091FE0"/>
    <w:rsid w:val="00092076"/>
    <w:rsid w:val="0009687F"/>
    <w:rsid w:val="000B301A"/>
    <w:rsid w:val="000B3692"/>
    <w:rsid w:val="000C0AF2"/>
    <w:rsid w:val="000D079E"/>
    <w:rsid w:val="000D0C43"/>
    <w:rsid w:val="000D5C76"/>
    <w:rsid w:val="000D6933"/>
    <w:rsid w:val="000E6142"/>
    <w:rsid w:val="000F3424"/>
    <w:rsid w:val="00103E95"/>
    <w:rsid w:val="00110BC3"/>
    <w:rsid w:val="00114FFD"/>
    <w:rsid w:val="00122F77"/>
    <w:rsid w:val="00127A94"/>
    <w:rsid w:val="00133043"/>
    <w:rsid w:val="00135CBF"/>
    <w:rsid w:val="00136F97"/>
    <w:rsid w:val="00145755"/>
    <w:rsid w:val="001554EC"/>
    <w:rsid w:val="00161BEF"/>
    <w:rsid w:val="001742CE"/>
    <w:rsid w:val="00183186"/>
    <w:rsid w:val="00185A45"/>
    <w:rsid w:val="00187267"/>
    <w:rsid w:val="0019537F"/>
    <w:rsid w:val="001B7772"/>
    <w:rsid w:val="001C1675"/>
    <w:rsid w:val="001C1CDF"/>
    <w:rsid w:val="001D0B85"/>
    <w:rsid w:val="001D3EFE"/>
    <w:rsid w:val="001D4139"/>
    <w:rsid w:val="001D6944"/>
    <w:rsid w:val="001E762C"/>
    <w:rsid w:val="001F5504"/>
    <w:rsid w:val="001F5EBA"/>
    <w:rsid w:val="001F7469"/>
    <w:rsid w:val="002013FB"/>
    <w:rsid w:val="00206F75"/>
    <w:rsid w:val="00230E99"/>
    <w:rsid w:val="00237723"/>
    <w:rsid w:val="002418F2"/>
    <w:rsid w:val="002519B8"/>
    <w:rsid w:val="00253963"/>
    <w:rsid w:val="00257F15"/>
    <w:rsid w:val="00264F3D"/>
    <w:rsid w:val="00265D33"/>
    <w:rsid w:val="00273E10"/>
    <w:rsid w:val="002751BA"/>
    <w:rsid w:val="00290D8C"/>
    <w:rsid w:val="002A394D"/>
    <w:rsid w:val="002A53ED"/>
    <w:rsid w:val="002A60CD"/>
    <w:rsid w:val="002A7A84"/>
    <w:rsid w:val="002E02DD"/>
    <w:rsid w:val="002E444E"/>
    <w:rsid w:val="002E52D9"/>
    <w:rsid w:val="002E5B6A"/>
    <w:rsid w:val="002F760A"/>
    <w:rsid w:val="0031410F"/>
    <w:rsid w:val="00322527"/>
    <w:rsid w:val="00327F62"/>
    <w:rsid w:val="003324A2"/>
    <w:rsid w:val="0033352D"/>
    <w:rsid w:val="0034524E"/>
    <w:rsid w:val="00347874"/>
    <w:rsid w:val="003507C3"/>
    <w:rsid w:val="0035197F"/>
    <w:rsid w:val="003526D9"/>
    <w:rsid w:val="00352B16"/>
    <w:rsid w:val="003537AE"/>
    <w:rsid w:val="003729E8"/>
    <w:rsid w:val="00372E0D"/>
    <w:rsid w:val="0038590C"/>
    <w:rsid w:val="003878BB"/>
    <w:rsid w:val="003A62CC"/>
    <w:rsid w:val="003B37F7"/>
    <w:rsid w:val="003C1670"/>
    <w:rsid w:val="003C35D4"/>
    <w:rsid w:val="003C4291"/>
    <w:rsid w:val="003D5DFA"/>
    <w:rsid w:val="003E294B"/>
    <w:rsid w:val="003F1FC2"/>
    <w:rsid w:val="003F2A48"/>
    <w:rsid w:val="00402B52"/>
    <w:rsid w:val="00403A8E"/>
    <w:rsid w:val="00404491"/>
    <w:rsid w:val="00404B5B"/>
    <w:rsid w:val="00405217"/>
    <w:rsid w:val="00420B22"/>
    <w:rsid w:val="00422187"/>
    <w:rsid w:val="00432329"/>
    <w:rsid w:val="0043609E"/>
    <w:rsid w:val="004371AB"/>
    <w:rsid w:val="00446FF3"/>
    <w:rsid w:val="0045205C"/>
    <w:rsid w:val="00461F33"/>
    <w:rsid w:val="0047701D"/>
    <w:rsid w:val="004816C6"/>
    <w:rsid w:val="00484F61"/>
    <w:rsid w:val="004909A8"/>
    <w:rsid w:val="004A2C93"/>
    <w:rsid w:val="004A3D80"/>
    <w:rsid w:val="004A76D4"/>
    <w:rsid w:val="004B1F30"/>
    <w:rsid w:val="004C25A8"/>
    <w:rsid w:val="004E07FB"/>
    <w:rsid w:val="004E17AE"/>
    <w:rsid w:val="005012E7"/>
    <w:rsid w:val="00512F15"/>
    <w:rsid w:val="00526DBB"/>
    <w:rsid w:val="00534164"/>
    <w:rsid w:val="0054140F"/>
    <w:rsid w:val="005559B3"/>
    <w:rsid w:val="00565951"/>
    <w:rsid w:val="005669FF"/>
    <w:rsid w:val="00567896"/>
    <w:rsid w:val="00586827"/>
    <w:rsid w:val="00595D1F"/>
    <w:rsid w:val="00596B9B"/>
    <w:rsid w:val="005A5353"/>
    <w:rsid w:val="005C3AB4"/>
    <w:rsid w:val="005C608F"/>
    <w:rsid w:val="005D1C39"/>
    <w:rsid w:val="005D38CF"/>
    <w:rsid w:val="005D3E78"/>
    <w:rsid w:val="005E0116"/>
    <w:rsid w:val="005E328E"/>
    <w:rsid w:val="005F61C2"/>
    <w:rsid w:val="00605B1B"/>
    <w:rsid w:val="006074E5"/>
    <w:rsid w:val="00617445"/>
    <w:rsid w:val="006221DE"/>
    <w:rsid w:val="0063001E"/>
    <w:rsid w:val="0063717B"/>
    <w:rsid w:val="0063720F"/>
    <w:rsid w:val="006551DC"/>
    <w:rsid w:val="00657EE3"/>
    <w:rsid w:val="00663A5B"/>
    <w:rsid w:val="00680A1B"/>
    <w:rsid w:val="00684DF8"/>
    <w:rsid w:val="0068722D"/>
    <w:rsid w:val="006938E1"/>
    <w:rsid w:val="00693E85"/>
    <w:rsid w:val="00697064"/>
    <w:rsid w:val="00697157"/>
    <w:rsid w:val="006B0BC0"/>
    <w:rsid w:val="006D4883"/>
    <w:rsid w:val="006D4A6F"/>
    <w:rsid w:val="006E4808"/>
    <w:rsid w:val="006E588E"/>
    <w:rsid w:val="006E6AE3"/>
    <w:rsid w:val="006F12FD"/>
    <w:rsid w:val="0070358A"/>
    <w:rsid w:val="00710BB7"/>
    <w:rsid w:val="00711D73"/>
    <w:rsid w:val="00712864"/>
    <w:rsid w:val="007347BD"/>
    <w:rsid w:val="007351D4"/>
    <w:rsid w:val="00742759"/>
    <w:rsid w:val="007475D8"/>
    <w:rsid w:val="007571FE"/>
    <w:rsid w:val="00760311"/>
    <w:rsid w:val="007805EE"/>
    <w:rsid w:val="007A2ABE"/>
    <w:rsid w:val="007A62D7"/>
    <w:rsid w:val="007C1873"/>
    <w:rsid w:val="007C2B44"/>
    <w:rsid w:val="007C63EE"/>
    <w:rsid w:val="007D699F"/>
    <w:rsid w:val="007D6FA8"/>
    <w:rsid w:val="007F1B25"/>
    <w:rsid w:val="007F71D9"/>
    <w:rsid w:val="00813DEC"/>
    <w:rsid w:val="008218D0"/>
    <w:rsid w:val="00824460"/>
    <w:rsid w:val="00831ACD"/>
    <w:rsid w:val="00840339"/>
    <w:rsid w:val="008406F6"/>
    <w:rsid w:val="00855231"/>
    <w:rsid w:val="0085764C"/>
    <w:rsid w:val="00857753"/>
    <w:rsid w:val="00866216"/>
    <w:rsid w:val="00881351"/>
    <w:rsid w:val="00883720"/>
    <w:rsid w:val="00886540"/>
    <w:rsid w:val="008957C6"/>
    <w:rsid w:val="00895D46"/>
    <w:rsid w:val="008A6411"/>
    <w:rsid w:val="008B1876"/>
    <w:rsid w:val="008B4730"/>
    <w:rsid w:val="008B65BF"/>
    <w:rsid w:val="008C0578"/>
    <w:rsid w:val="008C339D"/>
    <w:rsid w:val="008D37A8"/>
    <w:rsid w:val="008D4A0C"/>
    <w:rsid w:val="008D7DFB"/>
    <w:rsid w:val="008E07D8"/>
    <w:rsid w:val="008E772C"/>
    <w:rsid w:val="008F2D02"/>
    <w:rsid w:val="008F760B"/>
    <w:rsid w:val="00900309"/>
    <w:rsid w:val="00900568"/>
    <w:rsid w:val="009114EA"/>
    <w:rsid w:val="00923883"/>
    <w:rsid w:val="00931753"/>
    <w:rsid w:val="00931AA0"/>
    <w:rsid w:val="009363AD"/>
    <w:rsid w:val="009365AF"/>
    <w:rsid w:val="00940302"/>
    <w:rsid w:val="00942A8A"/>
    <w:rsid w:val="00947ADA"/>
    <w:rsid w:val="0095238D"/>
    <w:rsid w:val="009602C8"/>
    <w:rsid w:val="00960D56"/>
    <w:rsid w:val="00964A48"/>
    <w:rsid w:val="009737D7"/>
    <w:rsid w:val="00976BD3"/>
    <w:rsid w:val="00977245"/>
    <w:rsid w:val="009776AA"/>
    <w:rsid w:val="00980BD0"/>
    <w:rsid w:val="00985BF2"/>
    <w:rsid w:val="009B3420"/>
    <w:rsid w:val="009B4B0F"/>
    <w:rsid w:val="009C5AFD"/>
    <w:rsid w:val="009D7924"/>
    <w:rsid w:val="009F4820"/>
    <w:rsid w:val="009F5783"/>
    <w:rsid w:val="00A00833"/>
    <w:rsid w:val="00A120DB"/>
    <w:rsid w:val="00A20C6E"/>
    <w:rsid w:val="00A23632"/>
    <w:rsid w:val="00A24126"/>
    <w:rsid w:val="00A3308B"/>
    <w:rsid w:val="00A34472"/>
    <w:rsid w:val="00A40C7A"/>
    <w:rsid w:val="00A5571C"/>
    <w:rsid w:val="00A557D6"/>
    <w:rsid w:val="00A81D8F"/>
    <w:rsid w:val="00A81F6F"/>
    <w:rsid w:val="00A8358E"/>
    <w:rsid w:val="00A8748C"/>
    <w:rsid w:val="00A90CB5"/>
    <w:rsid w:val="00A914BC"/>
    <w:rsid w:val="00A95D43"/>
    <w:rsid w:val="00A966D4"/>
    <w:rsid w:val="00AA5C7A"/>
    <w:rsid w:val="00AD4763"/>
    <w:rsid w:val="00AE1518"/>
    <w:rsid w:val="00AE4E6D"/>
    <w:rsid w:val="00AE7127"/>
    <w:rsid w:val="00B02D77"/>
    <w:rsid w:val="00B066A4"/>
    <w:rsid w:val="00B16840"/>
    <w:rsid w:val="00B27F7A"/>
    <w:rsid w:val="00B4581B"/>
    <w:rsid w:val="00B47764"/>
    <w:rsid w:val="00B503AE"/>
    <w:rsid w:val="00B633DF"/>
    <w:rsid w:val="00B63F40"/>
    <w:rsid w:val="00B72349"/>
    <w:rsid w:val="00B76673"/>
    <w:rsid w:val="00B82C4D"/>
    <w:rsid w:val="00B82CA8"/>
    <w:rsid w:val="00B86FB9"/>
    <w:rsid w:val="00B93BE1"/>
    <w:rsid w:val="00B95368"/>
    <w:rsid w:val="00B95C78"/>
    <w:rsid w:val="00BA0149"/>
    <w:rsid w:val="00BA0CF4"/>
    <w:rsid w:val="00BA1013"/>
    <w:rsid w:val="00BB0D43"/>
    <w:rsid w:val="00BB4433"/>
    <w:rsid w:val="00BC0AE4"/>
    <w:rsid w:val="00BC442F"/>
    <w:rsid w:val="00BF3B4B"/>
    <w:rsid w:val="00C056BE"/>
    <w:rsid w:val="00C11E73"/>
    <w:rsid w:val="00C24430"/>
    <w:rsid w:val="00C27D22"/>
    <w:rsid w:val="00C331EB"/>
    <w:rsid w:val="00C33899"/>
    <w:rsid w:val="00C346BA"/>
    <w:rsid w:val="00C41281"/>
    <w:rsid w:val="00C41630"/>
    <w:rsid w:val="00C44252"/>
    <w:rsid w:val="00C44B45"/>
    <w:rsid w:val="00C47D5E"/>
    <w:rsid w:val="00C50384"/>
    <w:rsid w:val="00C6579C"/>
    <w:rsid w:val="00C66CBA"/>
    <w:rsid w:val="00C71235"/>
    <w:rsid w:val="00C91FBE"/>
    <w:rsid w:val="00C93C15"/>
    <w:rsid w:val="00C95C9E"/>
    <w:rsid w:val="00CA656B"/>
    <w:rsid w:val="00CA6A8F"/>
    <w:rsid w:val="00CB479F"/>
    <w:rsid w:val="00CB69EC"/>
    <w:rsid w:val="00CC0140"/>
    <w:rsid w:val="00CC3631"/>
    <w:rsid w:val="00CC3CBA"/>
    <w:rsid w:val="00CD62B2"/>
    <w:rsid w:val="00CE29AE"/>
    <w:rsid w:val="00CF12B8"/>
    <w:rsid w:val="00D06FAD"/>
    <w:rsid w:val="00D22B76"/>
    <w:rsid w:val="00D3215D"/>
    <w:rsid w:val="00D42E4A"/>
    <w:rsid w:val="00D4329F"/>
    <w:rsid w:val="00D46A6A"/>
    <w:rsid w:val="00D47E09"/>
    <w:rsid w:val="00D5363F"/>
    <w:rsid w:val="00D745DF"/>
    <w:rsid w:val="00D77178"/>
    <w:rsid w:val="00D91311"/>
    <w:rsid w:val="00DA0C1C"/>
    <w:rsid w:val="00DB3A8D"/>
    <w:rsid w:val="00DB433F"/>
    <w:rsid w:val="00DC1624"/>
    <w:rsid w:val="00DC33B1"/>
    <w:rsid w:val="00DC37F5"/>
    <w:rsid w:val="00DC430E"/>
    <w:rsid w:val="00DD2DC4"/>
    <w:rsid w:val="00DD4428"/>
    <w:rsid w:val="00DD4D2E"/>
    <w:rsid w:val="00DE08E2"/>
    <w:rsid w:val="00DE6C4D"/>
    <w:rsid w:val="00DF45D3"/>
    <w:rsid w:val="00E00EE3"/>
    <w:rsid w:val="00E13C31"/>
    <w:rsid w:val="00E2009A"/>
    <w:rsid w:val="00E2665F"/>
    <w:rsid w:val="00E41EE6"/>
    <w:rsid w:val="00E43B67"/>
    <w:rsid w:val="00E65DDF"/>
    <w:rsid w:val="00E67A6B"/>
    <w:rsid w:val="00E740C7"/>
    <w:rsid w:val="00E74410"/>
    <w:rsid w:val="00E7543B"/>
    <w:rsid w:val="00EA3C64"/>
    <w:rsid w:val="00EA626F"/>
    <w:rsid w:val="00EB3913"/>
    <w:rsid w:val="00EB45E9"/>
    <w:rsid w:val="00EC0B67"/>
    <w:rsid w:val="00ED09E5"/>
    <w:rsid w:val="00EF2005"/>
    <w:rsid w:val="00EF65BD"/>
    <w:rsid w:val="00F15F48"/>
    <w:rsid w:val="00F20208"/>
    <w:rsid w:val="00F249DA"/>
    <w:rsid w:val="00F3254D"/>
    <w:rsid w:val="00F370FA"/>
    <w:rsid w:val="00F42B7A"/>
    <w:rsid w:val="00F82112"/>
    <w:rsid w:val="00F869A7"/>
    <w:rsid w:val="00F87319"/>
    <w:rsid w:val="00F90B83"/>
    <w:rsid w:val="00FA3A46"/>
    <w:rsid w:val="00FA5F70"/>
    <w:rsid w:val="00FC1E0C"/>
    <w:rsid w:val="00FC2081"/>
    <w:rsid w:val="00FC4AE0"/>
    <w:rsid w:val="00FD3B7E"/>
    <w:rsid w:val="00FD7837"/>
    <w:rsid w:val="00FE172F"/>
    <w:rsid w:val="00FF4354"/>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8835"/>
  <w15:chartTrackingRefBased/>
  <w15:docId w15:val="{7B58EC07-CE83-4022-A827-5C23FD6D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D3E78"/>
    <w:pPr>
      <w:spacing w:after="0" w:line="240" w:lineRule="auto"/>
    </w:pPr>
    <w:rPr>
      <w:sz w:val="20"/>
      <w:szCs w:val="20"/>
    </w:rPr>
  </w:style>
  <w:style w:type="character" w:customStyle="1" w:styleId="FootnoteTextChar">
    <w:name w:val="Footnote Text Char"/>
    <w:basedOn w:val="DefaultParagraphFont"/>
    <w:link w:val="FootnoteText"/>
    <w:uiPriority w:val="99"/>
    <w:rsid w:val="005D3E78"/>
    <w:rPr>
      <w:sz w:val="20"/>
      <w:szCs w:val="20"/>
    </w:rPr>
  </w:style>
  <w:style w:type="character" w:styleId="FootnoteReference">
    <w:name w:val="footnote reference"/>
    <w:basedOn w:val="DefaultParagraphFont"/>
    <w:uiPriority w:val="99"/>
    <w:semiHidden/>
    <w:unhideWhenUsed/>
    <w:rsid w:val="005D3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364">
      <w:bodyDiv w:val="1"/>
      <w:marLeft w:val="0"/>
      <w:marRight w:val="0"/>
      <w:marTop w:val="0"/>
      <w:marBottom w:val="0"/>
      <w:divBdr>
        <w:top w:val="none" w:sz="0" w:space="0" w:color="auto"/>
        <w:left w:val="none" w:sz="0" w:space="0" w:color="auto"/>
        <w:bottom w:val="none" w:sz="0" w:space="0" w:color="auto"/>
        <w:right w:val="none" w:sz="0" w:space="0" w:color="auto"/>
      </w:divBdr>
      <w:divsChild>
        <w:div w:id="180314863">
          <w:marLeft w:val="0"/>
          <w:marRight w:val="0"/>
          <w:marTop w:val="0"/>
          <w:marBottom w:val="0"/>
          <w:divBdr>
            <w:top w:val="none" w:sz="0" w:space="0" w:color="3D3D3D"/>
            <w:left w:val="none" w:sz="0" w:space="0" w:color="3D3D3D"/>
            <w:bottom w:val="none" w:sz="0" w:space="0" w:color="3D3D3D"/>
            <w:right w:val="none" w:sz="0" w:space="0" w:color="3D3D3D"/>
          </w:divBdr>
        </w:div>
      </w:divsChild>
    </w:div>
    <w:div w:id="752507329">
      <w:bodyDiv w:val="1"/>
      <w:marLeft w:val="0"/>
      <w:marRight w:val="0"/>
      <w:marTop w:val="0"/>
      <w:marBottom w:val="0"/>
      <w:divBdr>
        <w:top w:val="none" w:sz="0" w:space="0" w:color="auto"/>
        <w:left w:val="none" w:sz="0" w:space="0" w:color="auto"/>
        <w:bottom w:val="none" w:sz="0" w:space="0" w:color="auto"/>
        <w:right w:val="none" w:sz="0" w:space="0" w:color="auto"/>
      </w:divBdr>
      <w:divsChild>
        <w:div w:id="1806118453">
          <w:marLeft w:val="0"/>
          <w:marRight w:val="0"/>
          <w:marTop w:val="0"/>
          <w:marBottom w:val="0"/>
          <w:divBdr>
            <w:top w:val="none" w:sz="0" w:space="0" w:color="3D3D3D"/>
            <w:left w:val="none" w:sz="0" w:space="0" w:color="3D3D3D"/>
            <w:bottom w:val="none" w:sz="0" w:space="0" w:color="3D3D3D"/>
            <w:right w:val="none" w:sz="0" w:space="0" w:color="3D3D3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EBF66-46D1-4A91-83C7-EB5DFDA0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4</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Benjamin M LCDR USCG NPFC (USA)</dc:creator>
  <cp:keywords/>
  <dc:description/>
  <cp:lastModifiedBy>Robinson, Benjamin M LCDR USCG NPFC (USA)</cp:lastModifiedBy>
  <cp:revision>378</cp:revision>
  <dcterms:created xsi:type="dcterms:W3CDTF">2024-03-06T19:32:00Z</dcterms:created>
  <dcterms:modified xsi:type="dcterms:W3CDTF">2024-03-07T22:04:00Z</dcterms:modified>
</cp:coreProperties>
</file>