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3E" w:rsidRPr="00726186" w:rsidRDefault="0099024E" w:rsidP="00C455C3">
      <w:pPr>
        <w:jc w:val="center"/>
        <w:rPr>
          <w:rFonts w:ascii="Times New Roman" w:hAnsi="Times New Roman" w:cs="Times New Roman"/>
          <w:b/>
          <w:sz w:val="28"/>
          <w:szCs w:val="28"/>
        </w:rPr>
      </w:pPr>
      <w:r w:rsidRPr="00726186">
        <w:rPr>
          <w:rFonts w:ascii="Times New Roman" w:hAnsi="Times New Roman" w:cs="Times New Roman"/>
          <w:b/>
          <w:sz w:val="28"/>
          <w:szCs w:val="28"/>
        </w:rPr>
        <w:t xml:space="preserve">Maintenance and Cure </w:t>
      </w:r>
      <w:r w:rsidR="00EE74D2" w:rsidRPr="00726186">
        <w:rPr>
          <w:rFonts w:ascii="Times New Roman" w:hAnsi="Times New Roman" w:cs="Times New Roman"/>
          <w:b/>
          <w:sz w:val="28"/>
          <w:szCs w:val="28"/>
        </w:rPr>
        <w:t>Update</w:t>
      </w:r>
      <w:r w:rsidR="00C455C3" w:rsidRPr="00726186">
        <w:rPr>
          <w:rFonts w:ascii="Times New Roman" w:hAnsi="Times New Roman" w:cs="Times New Roman"/>
          <w:b/>
          <w:sz w:val="28"/>
          <w:szCs w:val="28"/>
        </w:rPr>
        <w:t xml:space="preserve"> — MLA Fall Meeting 2015</w:t>
      </w:r>
    </w:p>
    <w:p w:rsidR="0099024E" w:rsidRDefault="00EE74D2" w:rsidP="00726186">
      <w:pPr>
        <w:spacing w:after="0"/>
        <w:jc w:val="center"/>
        <w:rPr>
          <w:rFonts w:ascii="Times New Roman" w:hAnsi="Times New Roman" w:cs="Times New Roman"/>
          <w:b/>
          <w:sz w:val="28"/>
          <w:szCs w:val="28"/>
        </w:rPr>
      </w:pPr>
      <w:r w:rsidRPr="00726186">
        <w:rPr>
          <w:rFonts w:ascii="Times New Roman" w:hAnsi="Times New Roman" w:cs="Times New Roman"/>
          <w:b/>
          <w:sz w:val="28"/>
          <w:szCs w:val="28"/>
        </w:rPr>
        <w:t>Aaron Greenbaum – Pusateri, Barrios, Guillot &amp; Greenbaum, LLC</w:t>
      </w:r>
    </w:p>
    <w:p w:rsidR="00726186" w:rsidRPr="00726186" w:rsidRDefault="00726186" w:rsidP="00726186">
      <w:pPr>
        <w:spacing w:after="0"/>
        <w:jc w:val="center"/>
        <w:rPr>
          <w:rFonts w:ascii="Times New Roman" w:hAnsi="Times New Roman" w:cs="Times New Roman"/>
          <w:b/>
          <w:sz w:val="28"/>
          <w:szCs w:val="28"/>
        </w:rPr>
      </w:pPr>
    </w:p>
    <w:p w:rsidR="00396939" w:rsidRDefault="00396939" w:rsidP="003D004D">
      <w:pPr>
        <w:spacing w:after="0" w:line="240" w:lineRule="auto"/>
        <w:rPr>
          <w:rFonts w:ascii="Times New Roman" w:hAnsi="Times New Roman" w:cs="Times New Roman"/>
          <w:b/>
          <w:sz w:val="24"/>
          <w:szCs w:val="24"/>
        </w:rPr>
      </w:pPr>
      <w:r w:rsidRPr="005436FD">
        <w:rPr>
          <w:rFonts w:ascii="Times New Roman" w:hAnsi="Times New Roman" w:cs="Times New Roman"/>
          <w:b/>
          <w:sz w:val="24"/>
          <w:szCs w:val="24"/>
        </w:rPr>
        <w:t xml:space="preserve">Nature of </w:t>
      </w:r>
      <w:r w:rsidR="00914E9A" w:rsidRPr="005436FD">
        <w:rPr>
          <w:rFonts w:ascii="Times New Roman" w:hAnsi="Times New Roman" w:cs="Times New Roman"/>
          <w:b/>
          <w:sz w:val="24"/>
          <w:szCs w:val="24"/>
        </w:rPr>
        <w:t xml:space="preserve">the </w:t>
      </w:r>
      <w:r w:rsidRPr="005436FD">
        <w:rPr>
          <w:rFonts w:ascii="Times New Roman" w:hAnsi="Times New Roman" w:cs="Times New Roman"/>
          <w:b/>
          <w:sz w:val="24"/>
          <w:szCs w:val="24"/>
        </w:rPr>
        <w:t xml:space="preserve">ongoing maintenance </w:t>
      </w:r>
      <w:r w:rsidR="00D721C1" w:rsidRPr="005436FD">
        <w:rPr>
          <w:rFonts w:ascii="Times New Roman" w:hAnsi="Times New Roman" w:cs="Times New Roman"/>
          <w:b/>
          <w:sz w:val="24"/>
          <w:szCs w:val="24"/>
        </w:rPr>
        <w:t xml:space="preserve">and cure </w:t>
      </w:r>
      <w:r w:rsidRPr="005436FD">
        <w:rPr>
          <w:rFonts w:ascii="Times New Roman" w:hAnsi="Times New Roman" w:cs="Times New Roman"/>
          <w:b/>
          <w:sz w:val="24"/>
          <w:szCs w:val="24"/>
        </w:rPr>
        <w:t xml:space="preserve">obligation - </w:t>
      </w:r>
      <w:r w:rsidRPr="005436FD">
        <w:rPr>
          <w:rFonts w:ascii="Times New Roman" w:hAnsi="Times New Roman" w:cs="Times New Roman"/>
          <w:b/>
          <w:i/>
          <w:sz w:val="24"/>
          <w:szCs w:val="24"/>
        </w:rPr>
        <w:t>Arctic</w:t>
      </w:r>
      <w:r w:rsidRPr="0079546D">
        <w:rPr>
          <w:rFonts w:ascii="Times New Roman" w:hAnsi="Times New Roman" w:cs="Times New Roman"/>
          <w:b/>
          <w:i/>
          <w:sz w:val="24"/>
          <w:szCs w:val="24"/>
        </w:rPr>
        <w:t xml:space="preserve"> Storm, Inc. v. Madrid</w:t>
      </w:r>
      <w:r w:rsidRPr="0079546D">
        <w:rPr>
          <w:rFonts w:ascii="Times New Roman" w:hAnsi="Times New Roman" w:cs="Times New Roman"/>
          <w:b/>
          <w:sz w:val="24"/>
          <w:szCs w:val="24"/>
        </w:rPr>
        <w:t>, 2015 U.S. Dist. LEXIS 102</w:t>
      </w:r>
      <w:r w:rsidR="001847DE">
        <w:rPr>
          <w:rFonts w:ascii="Times New Roman" w:hAnsi="Times New Roman" w:cs="Times New Roman"/>
          <w:b/>
          <w:sz w:val="24"/>
          <w:szCs w:val="24"/>
        </w:rPr>
        <w:t>323</w:t>
      </w:r>
      <w:r w:rsidRPr="0079546D">
        <w:rPr>
          <w:rFonts w:ascii="Times New Roman" w:hAnsi="Times New Roman" w:cs="Times New Roman"/>
          <w:b/>
          <w:sz w:val="24"/>
          <w:szCs w:val="24"/>
        </w:rPr>
        <w:t xml:space="preserve"> (W.D. Wash. May 22, 2015)</w:t>
      </w:r>
    </w:p>
    <w:p w:rsidR="00726186" w:rsidRPr="002353C3" w:rsidRDefault="00726186" w:rsidP="003D004D">
      <w:pPr>
        <w:spacing w:after="0" w:line="240" w:lineRule="auto"/>
        <w:rPr>
          <w:rFonts w:ascii="Times New Roman" w:hAnsi="Times New Roman" w:cs="Times New Roman"/>
          <w:b/>
          <w:sz w:val="24"/>
          <w:szCs w:val="24"/>
        </w:rPr>
      </w:pPr>
    </w:p>
    <w:p w:rsidR="00396939" w:rsidRDefault="00396939" w:rsidP="003D00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Arctic Storm, Inc. v. Madrid</w:t>
      </w:r>
      <w:r>
        <w:rPr>
          <w:rFonts w:ascii="Times New Roman" w:hAnsi="Times New Roman" w:cs="Times New Roman"/>
          <w:sz w:val="24"/>
          <w:szCs w:val="24"/>
        </w:rPr>
        <w:t>, a</w:t>
      </w:r>
      <w:r w:rsidRPr="00511329">
        <w:rPr>
          <w:rFonts w:ascii="Times New Roman" w:hAnsi="Times New Roman" w:cs="Times New Roman"/>
          <w:sz w:val="24"/>
          <w:szCs w:val="24"/>
        </w:rPr>
        <w:t xml:space="preserve"> fire brok</w:t>
      </w:r>
      <w:r>
        <w:rPr>
          <w:rFonts w:ascii="Times New Roman" w:hAnsi="Times New Roman" w:cs="Times New Roman"/>
          <w:sz w:val="24"/>
          <w:szCs w:val="24"/>
        </w:rPr>
        <w:t xml:space="preserve">e out in the engine room of a </w:t>
      </w:r>
      <w:r w:rsidRPr="00511329">
        <w:rPr>
          <w:rFonts w:ascii="Times New Roman" w:hAnsi="Times New Roman" w:cs="Times New Roman"/>
          <w:sz w:val="24"/>
          <w:szCs w:val="24"/>
        </w:rPr>
        <w:t xml:space="preserve">vessel while </w:t>
      </w:r>
      <w:r>
        <w:rPr>
          <w:rFonts w:ascii="Times New Roman" w:hAnsi="Times New Roman" w:cs="Times New Roman"/>
          <w:sz w:val="24"/>
          <w:szCs w:val="24"/>
        </w:rPr>
        <w:t>its crewmembers were onboard, prompting them to evacuate.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following day, the crewmember-claimants </w:t>
      </w:r>
      <w:r w:rsidRPr="00511329">
        <w:rPr>
          <w:rFonts w:ascii="Times New Roman" w:hAnsi="Times New Roman" w:cs="Times New Roman"/>
          <w:sz w:val="24"/>
          <w:szCs w:val="24"/>
        </w:rPr>
        <w:t>signed a form denying that they had been injured or had fallen ill in the service of the v</w:t>
      </w:r>
      <w:r>
        <w:rPr>
          <w:rFonts w:ascii="Times New Roman" w:hAnsi="Times New Roman" w:cs="Times New Roman"/>
          <w:sz w:val="24"/>
          <w:szCs w:val="24"/>
        </w:rPr>
        <w:t>essel. O</w:t>
      </w:r>
      <w:r w:rsidRPr="00511329">
        <w:rPr>
          <w:rFonts w:ascii="Times New Roman" w:hAnsi="Times New Roman" w:cs="Times New Roman"/>
          <w:sz w:val="24"/>
          <w:szCs w:val="24"/>
        </w:rPr>
        <w:t xml:space="preserve">ne month following the incident, </w:t>
      </w:r>
      <w:r>
        <w:rPr>
          <w:rFonts w:ascii="Times New Roman" w:hAnsi="Times New Roman" w:cs="Times New Roman"/>
          <w:sz w:val="24"/>
          <w:szCs w:val="24"/>
        </w:rPr>
        <w:t>the crewmember</w:t>
      </w:r>
      <w:r w:rsidR="00914E9A">
        <w:rPr>
          <w:rFonts w:ascii="Times New Roman" w:hAnsi="Times New Roman" w:cs="Times New Roman"/>
          <w:sz w:val="24"/>
          <w:szCs w:val="24"/>
        </w:rPr>
        <w:t>-claimants informed the</w:t>
      </w:r>
      <w:r>
        <w:rPr>
          <w:rFonts w:ascii="Times New Roman" w:hAnsi="Times New Roman" w:cs="Times New Roman"/>
          <w:sz w:val="24"/>
          <w:szCs w:val="24"/>
        </w:rPr>
        <w:t xml:space="preserve"> vessel owner that</w:t>
      </w:r>
      <w:r w:rsidRPr="00511329">
        <w:rPr>
          <w:rFonts w:ascii="Times New Roman" w:hAnsi="Times New Roman" w:cs="Times New Roman"/>
          <w:sz w:val="24"/>
          <w:szCs w:val="24"/>
        </w:rPr>
        <w:t xml:space="preserve"> they were seeking </w:t>
      </w:r>
      <w:r>
        <w:rPr>
          <w:rFonts w:ascii="Times New Roman" w:hAnsi="Times New Roman" w:cs="Times New Roman"/>
          <w:sz w:val="24"/>
          <w:szCs w:val="24"/>
        </w:rPr>
        <w:t xml:space="preserve">and were scheduled to receive </w:t>
      </w:r>
      <w:r w:rsidRPr="00511329">
        <w:rPr>
          <w:rFonts w:ascii="Times New Roman" w:hAnsi="Times New Roman" w:cs="Times New Roman"/>
          <w:sz w:val="24"/>
          <w:szCs w:val="24"/>
        </w:rPr>
        <w:t>treatment for psychological injuries they had s</w:t>
      </w:r>
      <w:r>
        <w:rPr>
          <w:rFonts w:ascii="Times New Roman" w:hAnsi="Times New Roman" w:cs="Times New Roman"/>
          <w:sz w:val="24"/>
          <w:szCs w:val="24"/>
        </w:rPr>
        <w:t>u</w:t>
      </w:r>
      <w:r w:rsidR="00914E9A">
        <w:rPr>
          <w:rFonts w:ascii="Times New Roman" w:hAnsi="Times New Roman" w:cs="Times New Roman"/>
          <w:sz w:val="24"/>
          <w:szCs w:val="24"/>
        </w:rPr>
        <w:t>ffered as a result of the fire.</w:t>
      </w:r>
      <w:r w:rsidR="00914E9A">
        <w:rPr>
          <w:rStyle w:val="FootnoteReference"/>
          <w:rFonts w:ascii="Times New Roman" w:hAnsi="Times New Roman" w:cs="Times New Roman"/>
          <w:sz w:val="24"/>
          <w:szCs w:val="24"/>
        </w:rPr>
        <w:footnoteReference w:id="2"/>
      </w:r>
    </w:p>
    <w:p w:rsidR="00726186" w:rsidRPr="00646DB5" w:rsidRDefault="00726186" w:rsidP="003D004D">
      <w:pPr>
        <w:spacing w:after="0" w:line="240" w:lineRule="auto"/>
        <w:ind w:firstLine="720"/>
        <w:jc w:val="both"/>
        <w:rPr>
          <w:rFonts w:ascii="Times New Roman" w:hAnsi="Times New Roman" w:cs="Times New Roman"/>
          <w:sz w:val="24"/>
          <w:szCs w:val="24"/>
        </w:rPr>
      </w:pPr>
    </w:p>
    <w:p w:rsidR="00914E9A" w:rsidRDefault="00914E9A" w:rsidP="003D00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vessel owner did not pay</w:t>
      </w:r>
      <w:r w:rsidRPr="00511329">
        <w:rPr>
          <w:rFonts w:ascii="Times New Roman" w:hAnsi="Times New Roman" w:cs="Times New Roman"/>
          <w:sz w:val="24"/>
          <w:szCs w:val="24"/>
        </w:rPr>
        <w:t xml:space="preserve"> maintenance for the 38 days from the date of the incident through </w:t>
      </w:r>
      <w:r>
        <w:rPr>
          <w:rFonts w:ascii="Times New Roman" w:hAnsi="Times New Roman" w:cs="Times New Roman"/>
          <w:sz w:val="24"/>
          <w:szCs w:val="24"/>
        </w:rPr>
        <w:t>the claimants’</w:t>
      </w:r>
      <w:r w:rsidRPr="00511329">
        <w:rPr>
          <w:rFonts w:ascii="Times New Roman" w:hAnsi="Times New Roman" w:cs="Times New Roman"/>
          <w:sz w:val="24"/>
          <w:szCs w:val="24"/>
        </w:rPr>
        <w:t xml:space="preserve"> first appointment with </w:t>
      </w:r>
      <w:r>
        <w:rPr>
          <w:rFonts w:ascii="Times New Roman" w:hAnsi="Times New Roman" w:cs="Times New Roman"/>
          <w:sz w:val="24"/>
          <w:szCs w:val="24"/>
        </w:rPr>
        <w:t>their treating psychologist and did not initiate maintenance and cure benefits for several months following the incident.</w:t>
      </w:r>
      <w:r>
        <w:rPr>
          <w:rStyle w:val="FootnoteReference"/>
          <w:rFonts w:ascii="Times New Roman" w:hAnsi="Times New Roman" w:cs="Times New Roman"/>
          <w:sz w:val="24"/>
          <w:szCs w:val="24"/>
        </w:rPr>
        <w:footnoteReference w:id="3"/>
      </w:r>
      <w:r w:rsidRPr="00511329">
        <w:rPr>
          <w:rFonts w:ascii="Times New Roman" w:hAnsi="Times New Roman" w:cs="Times New Roman"/>
          <w:sz w:val="24"/>
          <w:szCs w:val="24"/>
        </w:rPr>
        <w:t xml:space="preserve"> </w:t>
      </w:r>
      <w:r>
        <w:rPr>
          <w:rFonts w:ascii="Times New Roman" w:hAnsi="Times New Roman" w:cs="Times New Roman"/>
          <w:sz w:val="24"/>
          <w:szCs w:val="24"/>
        </w:rPr>
        <w:t xml:space="preserve">The vessel owner took the position that it was obligated to pay maintenance and cure </w:t>
      </w:r>
      <w:r w:rsidRPr="004B02C6">
        <w:rPr>
          <w:rFonts w:ascii="Times New Roman" w:hAnsi="Times New Roman" w:cs="Times New Roman"/>
          <w:i/>
          <w:sz w:val="24"/>
          <w:szCs w:val="24"/>
        </w:rPr>
        <w:t>only</w:t>
      </w:r>
      <w:r>
        <w:rPr>
          <w:rFonts w:ascii="Times New Roman" w:hAnsi="Times New Roman" w:cs="Times New Roman"/>
          <w:sz w:val="24"/>
          <w:szCs w:val="24"/>
        </w:rPr>
        <w:t xml:space="preserve"> </w:t>
      </w:r>
      <w:r w:rsidRPr="00511329">
        <w:rPr>
          <w:rFonts w:ascii="Times New Roman" w:hAnsi="Times New Roman" w:cs="Times New Roman"/>
          <w:sz w:val="24"/>
          <w:szCs w:val="24"/>
        </w:rPr>
        <w:t xml:space="preserve">covering dates for which </w:t>
      </w:r>
      <w:r w:rsidR="00D721C1">
        <w:rPr>
          <w:rFonts w:ascii="Times New Roman" w:hAnsi="Times New Roman" w:cs="Times New Roman"/>
          <w:sz w:val="24"/>
          <w:szCs w:val="24"/>
        </w:rPr>
        <w:t>“</w:t>
      </w:r>
      <w:r w:rsidRPr="00511329">
        <w:rPr>
          <w:rFonts w:ascii="Times New Roman" w:hAnsi="Times New Roman" w:cs="Times New Roman"/>
          <w:sz w:val="24"/>
          <w:szCs w:val="24"/>
        </w:rPr>
        <w:t xml:space="preserve">it knew </w:t>
      </w:r>
      <w:r>
        <w:rPr>
          <w:rFonts w:ascii="Times New Roman" w:hAnsi="Times New Roman" w:cs="Times New Roman"/>
          <w:sz w:val="24"/>
          <w:szCs w:val="24"/>
        </w:rPr>
        <w:t>the claimants</w:t>
      </w:r>
      <w:r w:rsidRPr="00511329">
        <w:rPr>
          <w:rFonts w:ascii="Times New Roman" w:hAnsi="Times New Roman" w:cs="Times New Roman"/>
          <w:sz w:val="24"/>
          <w:szCs w:val="24"/>
        </w:rPr>
        <w:t xml:space="preserve"> were still receiving treatment,</w:t>
      </w:r>
      <w:r w:rsidR="00D721C1">
        <w:rPr>
          <w:rFonts w:ascii="Times New Roman" w:hAnsi="Times New Roman" w:cs="Times New Roman"/>
          <w:sz w:val="24"/>
          <w:szCs w:val="24"/>
        </w:rPr>
        <w:t>”</w:t>
      </w:r>
      <w:r w:rsidRPr="00511329">
        <w:rPr>
          <w:rFonts w:ascii="Times New Roman" w:hAnsi="Times New Roman" w:cs="Times New Roman"/>
          <w:sz w:val="24"/>
          <w:szCs w:val="24"/>
        </w:rPr>
        <w:t xml:space="preserve"> and that it reasonably waited until it received medical records confirming dates of </w:t>
      </w:r>
      <w:r>
        <w:rPr>
          <w:rFonts w:ascii="Times New Roman" w:hAnsi="Times New Roman" w:cs="Times New Roman"/>
          <w:sz w:val="24"/>
          <w:szCs w:val="24"/>
        </w:rPr>
        <w:t xml:space="preserve">the </w:t>
      </w:r>
      <w:r w:rsidRPr="00511329">
        <w:rPr>
          <w:rFonts w:ascii="Times New Roman" w:hAnsi="Times New Roman" w:cs="Times New Roman"/>
          <w:sz w:val="24"/>
          <w:szCs w:val="24"/>
        </w:rPr>
        <w:t>counseling sessions before providing benefits covering the time leading up to and including these</w:t>
      </w:r>
      <w:r>
        <w:rPr>
          <w:rFonts w:ascii="Times New Roman" w:hAnsi="Times New Roman" w:cs="Times New Roman"/>
          <w:sz w:val="24"/>
          <w:szCs w:val="24"/>
        </w:rPr>
        <w:t xml:space="preserve"> dates.</w:t>
      </w:r>
      <w:r>
        <w:rPr>
          <w:rStyle w:val="FootnoteReference"/>
          <w:rFonts w:ascii="Times New Roman" w:hAnsi="Times New Roman" w:cs="Times New Roman"/>
          <w:sz w:val="24"/>
          <w:szCs w:val="24"/>
        </w:rPr>
        <w:footnoteReference w:id="4"/>
      </w:r>
    </w:p>
    <w:p w:rsidR="00726186" w:rsidRDefault="00726186" w:rsidP="003D004D">
      <w:pPr>
        <w:spacing w:after="0" w:line="240" w:lineRule="auto"/>
        <w:ind w:firstLine="720"/>
        <w:jc w:val="both"/>
        <w:rPr>
          <w:rFonts w:ascii="Times New Roman" w:hAnsi="Times New Roman" w:cs="Times New Roman"/>
          <w:sz w:val="24"/>
          <w:szCs w:val="24"/>
        </w:rPr>
      </w:pPr>
    </w:p>
    <w:p w:rsidR="00357EED" w:rsidRDefault="00331333" w:rsidP="003D00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court rejected the vessel owner’</w:t>
      </w:r>
      <w:r w:rsidR="00D721C1">
        <w:rPr>
          <w:rFonts w:ascii="Times New Roman" w:hAnsi="Times New Roman" w:cs="Times New Roman"/>
          <w:sz w:val="24"/>
          <w:szCs w:val="24"/>
        </w:rPr>
        <w:t>s arguments</w:t>
      </w:r>
      <w:r w:rsidR="00385CD7">
        <w:rPr>
          <w:rFonts w:ascii="Times New Roman" w:hAnsi="Times New Roman" w:cs="Times New Roman"/>
          <w:sz w:val="24"/>
          <w:szCs w:val="24"/>
        </w:rPr>
        <w:t>, holding</w:t>
      </w:r>
      <w:r>
        <w:rPr>
          <w:rFonts w:ascii="Times New Roman" w:hAnsi="Times New Roman" w:cs="Times New Roman"/>
          <w:sz w:val="24"/>
          <w:szCs w:val="24"/>
        </w:rPr>
        <w:t xml:space="preserve"> that </w:t>
      </w:r>
      <w:r w:rsidR="00D721C1">
        <w:rPr>
          <w:rFonts w:ascii="Times New Roman" w:hAnsi="Times New Roman" w:cs="Times New Roman"/>
          <w:sz w:val="24"/>
          <w:szCs w:val="24"/>
        </w:rPr>
        <w:t>a seaman is not obligated to supply updated records before receiving each new installment of maintenance. “</w:t>
      </w:r>
      <w:r w:rsidR="00D721C1" w:rsidRPr="00D721C1">
        <w:rPr>
          <w:rFonts w:ascii="Times New Roman" w:hAnsi="Times New Roman" w:cs="Times New Roman"/>
          <w:sz w:val="24"/>
          <w:szCs w:val="24"/>
        </w:rPr>
        <w:t>A shipowner cannot withhold maintenance where the records in its possession indicate that the seaman's tr</w:t>
      </w:r>
      <w:r w:rsidR="00D721C1">
        <w:rPr>
          <w:rFonts w:ascii="Times New Roman" w:hAnsi="Times New Roman" w:cs="Times New Roman"/>
          <w:sz w:val="24"/>
          <w:szCs w:val="24"/>
        </w:rPr>
        <w:t>eatment is ongoing and curative.”</w:t>
      </w:r>
      <w:r w:rsidR="00D721C1">
        <w:rPr>
          <w:rStyle w:val="FootnoteReference"/>
          <w:rFonts w:ascii="Times New Roman" w:hAnsi="Times New Roman" w:cs="Times New Roman"/>
          <w:sz w:val="24"/>
          <w:szCs w:val="24"/>
        </w:rPr>
        <w:footnoteReference w:id="5"/>
      </w:r>
      <w:r w:rsidR="00D721C1" w:rsidRPr="00D721C1">
        <w:rPr>
          <w:rFonts w:ascii="Times New Roman" w:hAnsi="Times New Roman" w:cs="Times New Roman"/>
          <w:sz w:val="24"/>
          <w:szCs w:val="24"/>
        </w:rPr>
        <w:t xml:space="preserve"> </w:t>
      </w:r>
      <w:r w:rsidR="00FA70ED">
        <w:rPr>
          <w:rFonts w:ascii="Times New Roman" w:hAnsi="Times New Roman" w:cs="Times New Roman"/>
          <w:sz w:val="24"/>
          <w:szCs w:val="24"/>
        </w:rPr>
        <w:t xml:space="preserve">The court ordered the vessel owner to pay </w:t>
      </w:r>
      <w:r w:rsidR="00DB1ADB">
        <w:rPr>
          <w:rFonts w:ascii="Times New Roman" w:hAnsi="Times New Roman" w:cs="Times New Roman"/>
          <w:sz w:val="24"/>
          <w:szCs w:val="24"/>
        </w:rPr>
        <w:t>back maintenance, holding that the fire was the “triggering” event for commencement of the maintenance and cure obligation.</w:t>
      </w:r>
      <w:r w:rsidR="00DB1ADB">
        <w:rPr>
          <w:rStyle w:val="FootnoteReference"/>
          <w:rFonts w:ascii="Times New Roman" w:hAnsi="Times New Roman" w:cs="Times New Roman"/>
          <w:sz w:val="24"/>
          <w:szCs w:val="24"/>
        </w:rPr>
        <w:footnoteReference w:id="6"/>
      </w:r>
      <w:r w:rsidR="006B5701">
        <w:rPr>
          <w:rFonts w:ascii="Times New Roman" w:hAnsi="Times New Roman" w:cs="Times New Roman"/>
          <w:sz w:val="24"/>
          <w:szCs w:val="24"/>
        </w:rPr>
        <w:t xml:space="preserve"> The c</w:t>
      </w:r>
      <w:r w:rsidR="00DB1ADB">
        <w:rPr>
          <w:rFonts w:ascii="Times New Roman" w:hAnsi="Times New Roman" w:cs="Times New Roman"/>
          <w:sz w:val="24"/>
          <w:szCs w:val="24"/>
        </w:rPr>
        <w:t xml:space="preserve">ourt further ordered the vessel owner to pay maintenance </w:t>
      </w:r>
      <w:r w:rsidR="00FA70ED">
        <w:rPr>
          <w:rFonts w:ascii="Times New Roman" w:hAnsi="Times New Roman" w:cs="Times New Roman"/>
          <w:sz w:val="24"/>
          <w:szCs w:val="24"/>
        </w:rPr>
        <w:t>on a regular, two-week schedule going forward</w:t>
      </w:r>
      <w:r w:rsidR="006B5701">
        <w:rPr>
          <w:rFonts w:ascii="Times New Roman" w:hAnsi="Times New Roman" w:cs="Times New Roman"/>
          <w:sz w:val="24"/>
          <w:szCs w:val="24"/>
        </w:rPr>
        <w:t>.</w:t>
      </w:r>
      <w:r w:rsidR="006B5701">
        <w:rPr>
          <w:rStyle w:val="FootnoteReference"/>
          <w:rFonts w:ascii="Times New Roman" w:hAnsi="Times New Roman" w:cs="Times New Roman"/>
          <w:sz w:val="24"/>
          <w:szCs w:val="24"/>
        </w:rPr>
        <w:footnoteReference w:id="7"/>
      </w:r>
      <w:r w:rsidR="006B5701">
        <w:rPr>
          <w:rFonts w:ascii="Times New Roman" w:hAnsi="Times New Roman" w:cs="Times New Roman"/>
          <w:sz w:val="24"/>
          <w:szCs w:val="24"/>
        </w:rPr>
        <w:t xml:space="preserve"> </w:t>
      </w:r>
      <w:r w:rsidR="00385CD7">
        <w:rPr>
          <w:rFonts w:ascii="Times New Roman" w:hAnsi="Times New Roman" w:cs="Times New Roman"/>
          <w:sz w:val="24"/>
          <w:szCs w:val="24"/>
        </w:rPr>
        <w:t>The court also held that the crewmembers’ claims for punitive damages could proceed to the trier of fact.</w:t>
      </w:r>
      <w:r w:rsidR="00385CD7">
        <w:rPr>
          <w:rStyle w:val="FootnoteReference"/>
          <w:rFonts w:ascii="Times New Roman" w:hAnsi="Times New Roman" w:cs="Times New Roman"/>
          <w:sz w:val="24"/>
          <w:szCs w:val="24"/>
        </w:rPr>
        <w:footnoteReference w:id="8"/>
      </w:r>
      <w:r w:rsidR="00385CD7">
        <w:rPr>
          <w:rFonts w:ascii="Times New Roman" w:hAnsi="Times New Roman" w:cs="Times New Roman"/>
          <w:sz w:val="24"/>
          <w:szCs w:val="24"/>
        </w:rPr>
        <w:t xml:space="preserve"> </w:t>
      </w:r>
    </w:p>
    <w:p w:rsidR="00B27095" w:rsidRDefault="00B27095" w:rsidP="003D004D">
      <w:pPr>
        <w:spacing w:after="0" w:line="240" w:lineRule="auto"/>
        <w:jc w:val="both"/>
        <w:rPr>
          <w:rFonts w:ascii="Times New Roman" w:hAnsi="Times New Roman" w:cs="Times New Roman"/>
          <w:sz w:val="24"/>
          <w:szCs w:val="24"/>
        </w:rPr>
      </w:pPr>
    </w:p>
    <w:p w:rsidR="002353C3" w:rsidRDefault="005076E8" w:rsidP="003D004D">
      <w:pPr>
        <w:spacing w:after="0" w:line="240" w:lineRule="auto"/>
        <w:rPr>
          <w:rFonts w:ascii="Times New Roman" w:hAnsi="Times New Roman" w:cs="Times New Roman"/>
          <w:b/>
          <w:sz w:val="24"/>
          <w:szCs w:val="24"/>
        </w:rPr>
      </w:pPr>
      <w:r>
        <w:rPr>
          <w:rFonts w:ascii="Times New Roman" w:hAnsi="Times New Roman" w:cs="Times New Roman"/>
          <w:b/>
          <w:sz w:val="24"/>
          <w:szCs w:val="24"/>
        </w:rPr>
        <w:t>The</w:t>
      </w:r>
      <w:r w:rsidR="008848E2">
        <w:rPr>
          <w:rFonts w:ascii="Times New Roman" w:hAnsi="Times New Roman" w:cs="Times New Roman"/>
          <w:b/>
          <w:sz w:val="24"/>
          <w:szCs w:val="24"/>
        </w:rPr>
        <w:t xml:space="preserve"> Collateral Source R</w:t>
      </w:r>
      <w:r>
        <w:rPr>
          <w:rFonts w:ascii="Times New Roman" w:hAnsi="Times New Roman" w:cs="Times New Roman"/>
          <w:b/>
          <w:sz w:val="24"/>
          <w:szCs w:val="24"/>
        </w:rPr>
        <w:t xml:space="preserve">ule </w:t>
      </w:r>
      <w:r w:rsidR="002353C3" w:rsidRPr="005436FD">
        <w:rPr>
          <w:rFonts w:ascii="Times New Roman" w:hAnsi="Times New Roman" w:cs="Times New Roman"/>
          <w:b/>
          <w:sz w:val="24"/>
          <w:szCs w:val="24"/>
        </w:rPr>
        <w:t xml:space="preserve">- </w:t>
      </w:r>
      <w:r w:rsidR="002353C3" w:rsidRPr="003D004D">
        <w:rPr>
          <w:rFonts w:ascii="Times New Roman" w:hAnsi="Times New Roman" w:cs="Times New Roman"/>
          <w:b/>
          <w:i/>
          <w:sz w:val="24"/>
          <w:szCs w:val="24"/>
        </w:rPr>
        <w:t>Blanchard v. United States</w:t>
      </w:r>
      <w:r w:rsidR="002353C3" w:rsidRPr="00FA744F">
        <w:rPr>
          <w:rFonts w:ascii="Times New Roman" w:hAnsi="Times New Roman" w:cs="Times New Roman"/>
          <w:b/>
          <w:sz w:val="24"/>
          <w:szCs w:val="24"/>
        </w:rPr>
        <w:t>, 2014 U.S. Dist. LEXIS 131958, 2014 AMC 2888 (W.D. La. Sept. 19, 2014)</w:t>
      </w:r>
    </w:p>
    <w:p w:rsidR="00B27095" w:rsidRDefault="00B27095" w:rsidP="003D004D">
      <w:pPr>
        <w:spacing w:after="0" w:line="240" w:lineRule="auto"/>
        <w:rPr>
          <w:rFonts w:ascii="Times New Roman" w:hAnsi="Times New Roman" w:cs="Times New Roman"/>
          <w:sz w:val="24"/>
          <w:szCs w:val="24"/>
        </w:rPr>
      </w:pPr>
    </w:p>
    <w:p w:rsidR="00C5658D" w:rsidRDefault="002353C3" w:rsidP="003D004D">
      <w:pPr>
        <w:spacing w:after="0" w:line="240" w:lineRule="auto"/>
        <w:ind w:firstLine="720"/>
        <w:jc w:val="both"/>
        <w:rPr>
          <w:rFonts w:ascii="Times New Roman" w:hAnsi="Times New Roman" w:cs="Times New Roman"/>
          <w:sz w:val="24"/>
          <w:szCs w:val="24"/>
        </w:rPr>
      </w:pPr>
      <w:r w:rsidRPr="004B71C3">
        <w:rPr>
          <w:rFonts w:ascii="Times New Roman" w:hAnsi="Times New Roman" w:cs="Times New Roman"/>
          <w:sz w:val="24"/>
          <w:szCs w:val="24"/>
        </w:rPr>
        <w:t xml:space="preserve">In </w:t>
      </w:r>
      <w:r w:rsidRPr="004B71C3">
        <w:rPr>
          <w:rFonts w:ascii="Times New Roman" w:hAnsi="Times New Roman" w:cs="Times New Roman"/>
          <w:i/>
          <w:sz w:val="24"/>
          <w:szCs w:val="24"/>
        </w:rPr>
        <w:t>Blanchard v. United States</w:t>
      </w:r>
      <w:r w:rsidRPr="004B71C3">
        <w:rPr>
          <w:rFonts w:ascii="Times New Roman" w:hAnsi="Times New Roman" w:cs="Times New Roman"/>
          <w:sz w:val="24"/>
          <w:szCs w:val="24"/>
        </w:rPr>
        <w:t xml:space="preserve">, the plaintiff was injured while working as a deckhand on a pushboat </w:t>
      </w:r>
      <w:r w:rsidR="009932B8" w:rsidRPr="004B71C3">
        <w:rPr>
          <w:rFonts w:ascii="Times New Roman" w:hAnsi="Times New Roman" w:cs="Times New Roman"/>
          <w:sz w:val="24"/>
          <w:szCs w:val="24"/>
        </w:rPr>
        <w:t xml:space="preserve">located </w:t>
      </w:r>
      <w:r w:rsidRPr="004B71C3">
        <w:rPr>
          <w:rFonts w:ascii="Times New Roman" w:hAnsi="Times New Roman" w:cs="Times New Roman"/>
          <w:sz w:val="24"/>
          <w:szCs w:val="24"/>
        </w:rPr>
        <w:t>on the Atchafalaya River, when the wake from a passing U.S. Army Corps of Engineers’ vessel rocked the pushboat, causing plaintiff to fall and injure himself.</w:t>
      </w:r>
      <w:r w:rsidRPr="004B71C3">
        <w:rPr>
          <w:rStyle w:val="FootnoteReference"/>
          <w:rFonts w:ascii="Times New Roman" w:hAnsi="Times New Roman" w:cs="Times New Roman"/>
          <w:sz w:val="24"/>
          <w:szCs w:val="24"/>
        </w:rPr>
        <w:footnoteReference w:id="9"/>
      </w:r>
      <w:r w:rsidRPr="004B71C3">
        <w:rPr>
          <w:rFonts w:ascii="Times New Roman" w:hAnsi="Times New Roman" w:cs="Times New Roman"/>
          <w:sz w:val="24"/>
          <w:szCs w:val="24"/>
        </w:rPr>
        <w:t xml:space="preserve"> The plaintiff’s employer filed a cross-claim </w:t>
      </w:r>
      <w:r w:rsidRPr="004B71C3">
        <w:rPr>
          <w:rFonts w:ascii="Times New Roman" w:eastAsia="Times" w:hAnsi="Times New Roman" w:cs="Times New Roman"/>
          <w:color w:val="000000"/>
          <w:sz w:val="24"/>
          <w:szCs w:val="24"/>
        </w:rPr>
        <w:t xml:space="preserve">against the United States seeking indemnity for any maintenance and </w:t>
      </w:r>
      <w:r w:rsidRPr="004B71C3">
        <w:rPr>
          <w:rFonts w:ascii="Times New Roman" w:eastAsia="Times" w:hAnsi="Times New Roman" w:cs="Times New Roman"/>
          <w:color w:val="000000"/>
          <w:sz w:val="24"/>
          <w:szCs w:val="24"/>
        </w:rPr>
        <w:lastRenderedPageBreak/>
        <w:t>cure benefits paid or to be paid to the plaintiff.</w:t>
      </w:r>
      <w:r w:rsidRPr="004B71C3">
        <w:rPr>
          <w:rStyle w:val="FootnoteReference"/>
          <w:rFonts w:ascii="Times New Roman" w:eastAsia="Times" w:hAnsi="Times New Roman" w:cs="Times New Roman"/>
          <w:color w:val="000000"/>
          <w:sz w:val="24"/>
          <w:szCs w:val="24"/>
        </w:rPr>
        <w:footnoteReference w:id="10"/>
      </w:r>
      <w:r w:rsidR="006E2961">
        <w:rPr>
          <w:rFonts w:ascii="Times New Roman" w:eastAsia="Times" w:hAnsi="Times New Roman" w:cs="Times New Roman"/>
          <w:color w:val="000000"/>
          <w:sz w:val="24"/>
          <w:szCs w:val="24"/>
        </w:rPr>
        <w:t xml:space="preserve"> </w:t>
      </w:r>
      <w:r w:rsidR="0001560D" w:rsidRPr="004B71C3">
        <w:rPr>
          <w:rFonts w:ascii="Times New Roman" w:eastAsia="Times" w:hAnsi="Times New Roman" w:cs="Times New Roman"/>
          <w:color w:val="000000"/>
          <w:sz w:val="24"/>
          <w:szCs w:val="24"/>
        </w:rPr>
        <w:t xml:space="preserve">After trial on the merits, the court assigned </w:t>
      </w:r>
      <w:r w:rsidR="006E2961">
        <w:rPr>
          <w:rFonts w:ascii="Times New Roman" w:eastAsia="Times" w:hAnsi="Times New Roman" w:cs="Times New Roman"/>
          <w:color w:val="000000"/>
          <w:sz w:val="24"/>
          <w:szCs w:val="24"/>
        </w:rPr>
        <w:t xml:space="preserve">the United States </w:t>
      </w:r>
      <w:r w:rsidR="0001560D" w:rsidRPr="004B71C3">
        <w:rPr>
          <w:rFonts w:ascii="Times New Roman" w:eastAsia="Times" w:hAnsi="Times New Roman" w:cs="Times New Roman"/>
          <w:color w:val="000000"/>
          <w:sz w:val="24"/>
          <w:szCs w:val="24"/>
        </w:rPr>
        <w:t>100% fault for the incident.</w:t>
      </w:r>
      <w:r w:rsidR="0001560D" w:rsidRPr="004B71C3">
        <w:rPr>
          <w:rStyle w:val="FootnoteReference"/>
          <w:rFonts w:ascii="Times New Roman" w:eastAsia="Times" w:hAnsi="Times New Roman" w:cs="Times New Roman"/>
          <w:color w:val="000000"/>
          <w:sz w:val="24"/>
          <w:szCs w:val="24"/>
        </w:rPr>
        <w:footnoteReference w:id="11"/>
      </w:r>
      <w:r w:rsidR="00D77FEB" w:rsidRPr="004B71C3">
        <w:rPr>
          <w:rFonts w:ascii="Times New Roman" w:eastAsia="Times" w:hAnsi="Times New Roman" w:cs="Times New Roman"/>
          <w:color w:val="000000"/>
          <w:sz w:val="24"/>
          <w:szCs w:val="24"/>
        </w:rPr>
        <w:t xml:space="preserve"> Damages were awarded in the amount of $585,784.06, plus post-judgment interest. Of that total, the parties stipulated that $42,794.44 was for past medical expenses.</w:t>
      </w:r>
      <w:r w:rsidR="00D77FEB" w:rsidRPr="004B71C3">
        <w:rPr>
          <w:rStyle w:val="FootnoteReference"/>
          <w:rFonts w:ascii="Times New Roman" w:eastAsia="Times" w:hAnsi="Times New Roman" w:cs="Times New Roman"/>
          <w:color w:val="000000"/>
          <w:sz w:val="24"/>
          <w:szCs w:val="24"/>
        </w:rPr>
        <w:footnoteReference w:id="12"/>
      </w:r>
      <w:r w:rsidR="0001560D" w:rsidRPr="004B71C3">
        <w:rPr>
          <w:rFonts w:ascii="Times New Roman" w:eastAsia="Times" w:hAnsi="Times New Roman" w:cs="Times New Roman"/>
          <w:color w:val="000000"/>
          <w:sz w:val="24"/>
          <w:szCs w:val="24"/>
        </w:rPr>
        <w:t xml:space="preserve"> </w:t>
      </w:r>
      <w:r w:rsidR="009932B8" w:rsidRPr="004B71C3">
        <w:rPr>
          <w:rFonts w:ascii="Times New Roman" w:eastAsia="Times" w:hAnsi="Times New Roman" w:cs="Times New Roman"/>
          <w:color w:val="000000"/>
          <w:sz w:val="24"/>
          <w:szCs w:val="24"/>
        </w:rPr>
        <w:t xml:space="preserve">The plaintiff’s employer sought </w:t>
      </w:r>
      <w:r w:rsidR="00582C33">
        <w:rPr>
          <w:rFonts w:ascii="Times New Roman" w:eastAsia="Times" w:hAnsi="Times New Roman" w:cs="Times New Roman"/>
          <w:color w:val="000000"/>
          <w:sz w:val="24"/>
          <w:szCs w:val="24"/>
        </w:rPr>
        <w:t xml:space="preserve">recovery </w:t>
      </w:r>
      <w:r w:rsidR="00D77FEB" w:rsidRPr="004B71C3">
        <w:rPr>
          <w:rFonts w:ascii="Times New Roman" w:eastAsia="Times" w:hAnsi="Times New Roman" w:cs="Times New Roman"/>
          <w:color w:val="000000"/>
          <w:sz w:val="24"/>
          <w:szCs w:val="24"/>
        </w:rPr>
        <w:t xml:space="preserve">from the United States for </w:t>
      </w:r>
      <w:r w:rsidR="009932B8" w:rsidRPr="004B71C3">
        <w:rPr>
          <w:rFonts w:ascii="Times New Roman" w:hAnsi="Times New Roman" w:cs="Times New Roman"/>
          <w:sz w:val="24"/>
          <w:szCs w:val="24"/>
        </w:rPr>
        <w:t>maintenance and cure payments made to the plaintiff in the stipulated amount of $104,550.36, plus post-judgment interest.</w:t>
      </w:r>
      <w:r w:rsidR="009932B8" w:rsidRPr="004B71C3">
        <w:rPr>
          <w:rStyle w:val="FootnoteReference"/>
          <w:rFonts w:ascii="Times New Roman" w:hAnsi="Times New Roman" w:cs="Times New Roman"/>
          <w:sz w:val="24"/>
          <w:szCs w:val="24"/>
        </w:rPr>
        <w:footnoteReference w:id="13"/>
      </w:r>
    </w:p>
    <w:p w:rsidR="00B27095" w:rsidRPr="004B71C3" w:rsidRDefault="00B27095" w:rsidP="003D004D">
      <w:pPr>
        <w:spacing w:after="0" w:line="240" w:lineRule="auto"/>
        <w:ind w:firstLine="720"/>
        <w:jc w:val="both"/>
        <w:rPr>
          <w:rFonts w:ascii="Times New Roman" w:hAnsi="Times New Roman" w:cs="Times New Roman"/>
          <w:sz w:val="24"/>
          <w:szCs w:val="24"/>
        </w:rPr>
      </w:pPr>
    </w:p>
    <w:p w:rsidR="00DD76B9" w:rsidRDefault="00D77FEB" w:rsidP="003D00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United States contended</w:t>
      </w:r>
      <w:r w:rsidR="001D215D" w:rsidRPr="001D215D">
        <w:rPr>
          <w:rFonts w:ascii="Times New Roman" w:hAnsi="Times New Roman" w:cs="Times New Roman"/>
          <w:sz w:val="24"/>
          <w:szCs w:val="24"/>
        </w:rPr>
        <w:t xml:space="preserve"> </w:t>
      </w:r>
      <w:r>
        <w:rPr>
          <w:rFonts w:ascii="Times New Roman" w:hAnsi="Times New Roman" w:cs="Times New Roman"/>
          <w:sz w:val="24"/>
          <w:szCs w:val="24"/>
        </w:rPr>
        <w:t>that it was</w:t>
      </w:r>
      <w:r w:rsidR="001D215D" w:rsidRPr="001D215D">
        <w:rPr>
          <w:rFonts w:ascii="Times New Roman" w:hAnsi="Times New Roman" w:cs="Times New Roman"/>
          <w:sz w:val="24"/>
          <w:szCs w:val="24"/>
        </w:rPr>
        <w:t xml:space="preserve"> being required to pay the pla</w:t>
      </w:r>
      <w:r>
        <w:rPr>
          <w:rFonts w:ascii="Times New Roman" w:hAnsi="Times New Roman" w:cs="Times New Roman"/>
          <w:sz w:val="24"/>
          <w:szCs w:val="24"/>
        </w:rPr>
        <w:t>intiff's medical expenses twice</w:t>
      </w:r>
      <w:r>
        <w:rPr>
          <w:rFonts w:ascii="Times New Roman" w:hAnsi="Times New Roman" w:cs="Times New Roman"/>
          <w:sz w:val="24"/>
          <w:szCs w:val="24"/>
        </w:rPr>
        <w:softHyphen/>
        <w:t>—</w:t>
      </w:r>
      <w:r w:rsidR="001D215D" w:rsidRPr="001D215D">
        <w:rPr>
          <w:rFonts w:ascii="Times New Roman" w:hAnsi="Times New Roman" w:cs="Times New Roman"/>
          <w:sz w:val="24"/>
          <w:szCs w:val="24"/>
        </w:rPr>
        <w:t>onc</w:t>
      </w:r>
      <w:r>
        <w:rPr>
          <w:rFonts w:ascii="Times New Roman" w:hAnsi="Times New Roman" w:cs="Times New Roman"/>
          <w:sz w:val="24"/>
          <w:szCs w:val="24"/>
        </w:rPr>
        <w:t>e to the plaintiff and once to the employer.</w:t>
      </w:r>
      <w:r w:rsidR="00DD76B9">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DD76B9">
        <w:rPr>
          <w:rFonts w:ascii="Times New Roman" w:hAnsi="Times New Roman" w:cs="Times New Roman"/>
          <w:sz w:val="24"/>
          <w:szCs w:val="24"/>
        </w:rPr>
        <w:t xml:space="preserve">The court </w:t>
      </w:r>
      <w:r w:rsidR="00FD6B32">
        <w:rPr>
          <w:rFonts w:ascii="Times New Roman" w:hAnsi="Times New Roman" w:cs="Times New Roman"/>
          <w:sz w:val="24"/>
          <w:szCs w:val="24"/>
        </w:rPr>
        <w:t>held that the collateral source rule applied</w:t>
      </w:r>
      <w:r w:rsidR="00DD76B9">
        <w:rPr>
          <w:rFonts w:ascii="Times New Roman" w:hAnsi="Times New Roman" w:cs="Times New Roman"/>
          <w:sz w:val="24"/>
          <w:szCs w:val="24"/>
        </w:rPr>
        <w:t>, reasoning that by</w:t>
      </w:r>
      <w:r w:rsidR="00DD76B9" w:rsidRPr="00970128">
        <w:rPr>
          <w:rFonts w:ascii="Times New Roman" w:hAnsi="Times New Roman" w:cs="Times New Roman"/>
          <w:sz w:val="24"/>
          <w:szCs w:val="24"/>
        </w:rPr>
        <w:t xml:space="preserve"> strict application of the collateral source rule, the United States as the tortfeasor, would not be ab</w:t>
      </w:r>
      <w:r w:rsidR="00582C33">
        <w:rPr>
          <w:rFonts w:ascii="Times New Roman" w:hAnsi="Times New Roman" w:cs="Times New Roman"/>
          <w:sz w:val="24"/>
          <w:szCs w:val="24"/>
        </w:rPr>
        <w:t>le to reduce the damages it owed</w:t>
      </w:r>
      <w:r w:rsidR="00DD76B9" w:rsidRPr="00970128">
        <w:rPr>
          <w:rFonts w:ascii="Times New Roman" w:hAnsi="Times New Roman" w:cs="Times New Roman"/>
          <w:sz w:val="24"/>
          <w:szCs w:val="24"/>
        </w:rPr>
        <w:t xml:space="preserve"> to the plaintiff by the amount of those </w:t>
      </w:r>
      <w:r w:rsidR="00DD76B9">
        <w:rPr>
          <w:rFonts w:ascii="Times New Roman" w:hAnsi="Times New Roman" w:cs="Times New Roman"/>
          <w:sz w:val="24"/>
          <w:szCs w:val="24"/>
        </w:rPr>
        <w:t>medical payments. “</w:t>
      </w:r>
      <w:r w:rsidR="00DD76B9" w:rsidRPr="00970128">
        <w:rPr>
          <w:rFonts w:ascii="Times New Roman" w:hAnsi="Times New Roman" w:cs="Times New Roman"/>
          <w:sz w:val="24"/>
          <w:szCs w:val="24"/>
        </w:rPr>
        <w:t>The outcome would be no different if the plaintiff had received worker's compensation benefits or private health insurance benefits instead of cure.</w:t>
      </w:r>
      <w:r w:rsidR="00DD76B9">
        <w:rPr>
          <w:rFonts w:ascii="Times New Roman" w:hAnsi="Times New Roman" w:cs="Times New Roman"/>
          <w:sz w:val="24"/>
          <w:szCs w:val="24"/>
        </w:rPr>
        <w:t>”</w:t>
      </w:r>
      <w:r w:rsidR="00DD76B9">
        <w:rPr>
          <w:rStyle w:val="FootnoteReference"/>
          <w:rFonts w:ascii="Times New Roman" w:hAnsi="Times New Roman" w:cs="Times New Roman"/>
          <w:sz w:val="24"/>
          <w:szCs w:val="24"/>
        </w:rPr>
        <w:footnoteReference w:id="15"/>
      </w:r>
      <w:r w:rsidR="00DD76B9">
        <w:rPr>
          <w:rFonts w:ascii="Times New Roman" w:hAnsi="Times New Roman" w:cs="Times New Roman"/>
          <w:sz w:val="24"/>
          <w:szCs w:val="24"/>
        </w:rPr>
        <w:t xml:space="preserve"> The United States did not contest that proposition, or the proposition that an</w:t>
      </w:r>
      <w:r w:rsidR="00DD76B9" w:rsidRPr="00970128">
        <w:rPr>
          <w:rFonts w:ascii="Times New Roman" w:hAnsi="Times New Roman" w:cs="Times New Roman"/>
          <w:sz w:val="24"/>
          <w:szCs w:val="24"/>
        </w:rPr>
        <w:t xml:space="preserve"> employer </w:t>
      </w:r>
      <w:r w:rsidR="00DD76B9">
        <w:rPr>
          <w:rFonts w:ascii="Times New Roman" w:hAnsi="Times New Roman" w:cs="Times New Roman"/>
          <w:sz w:val="24"/>
          <w:szCs w:val="24"/>
        </w:rPr>
        <w:t>could</w:t>
      </w:r>
      <w:r w:rsidR="00DD76B9" w:rsidRPr="00970128">
        <w:rPr>
          <w:rFonts w:ascii="Times New Roman" w:hAnsi="Times New Roman" w:cs="Times New Roman"/>
          <w:sz w:val="24"/>
          <w:szCs w:val="24"/>
        </w:rPr>
        <w:t xml:space="preserve"> recover maintenance and cure</w:t>
      </w:r>
      <w:r w:rsidR="00DD76B9">
        <w:rPr>
          <w:rFonts w:ascii="Times New Roman" w:hAnsi="Times New Roman" w:cs="Times New Roman"/>
          <w:b/>
          <w:sz w:val="24"/>
          <w:szCs w:val="24"/>
        </w:rPr>
        <w:t> </w:t>
      </w:r>
      <w:r w:rsidR="00DD76B9" w:rsidRPr="00970128">
        <w:rPr>
          <w:rFonts w:ascii="Times New Roman" w:hAnsi="Times New Roman" w:cs="Times New Roman"/>
          <w:sz w:val="24"/>
          <w:szCs w:val="24"/>
        </w:rPr>
        <w:t>payments</w:t>
      </w:r>
      <w:r w:rsidR="00DD76B9">
        <w:rPr>
          <w:rFonts w:ascii="Times New Roman" w:hAnsi="Times New Roman" w:cs="Times New Roman"/>
          <w:sz w:val="24"/>
          <w:szCs w:val="24"/>
        </w:rPr>
        <w:t xml:space="preserve"> “</w:t>
      </w:r>
      <w:r w:rsidR="00DD76B9" w:rsidRPr="00970128">
        <w:rPr>
          <w:rFonts w:ascii="Times New Roman" w:hAnsi="Times New Roman" w:cs="Times New Roman"/>
          <w:sz w:val="24"/>
          <w:szCs w:val="24"/>
        </w:rPr>
        <w:t>from a third-party whose negligence partially or who</w:t>
      </w:r>
      <w:r w:rsidR="00DD76B9">
        <w:rPr>
          <w:rFonts w:ascii="Times New Roman" w:hAnsi="Times New Roman" w:cs="Times New Roman"/>
          <w:sz w:val="24"/>
          <w:szCs w:val="24"/>
        </w:rPr>
        <w:t>lly caused the seaman's injury.”</w:t>
      </w:r>
      <w:r w:rsidR="00DD76B9">
        <w:rPr>
          <w:rStyle w:val="FootnoteReference"/>
          <w:rFonts w:ascii="Times New Roman" w:hAnsi="Times New Roman" w:cs="Times New Roman"/>
          <w:sz w:val="24"/>
          <w:szCs w:val="24"/>
        </w:rPr>
        <w:footnoteReference w:id="16"/>
      </w:r>
      <w:r w:rsidR="00CF23F1">
        <w:rPr>
          <w:rFonts w:ascii="Times New Roman" w:hAnsi="Times New Roman" w:cs="Times New Roman"/>
          <w:sz w:val="24"/>
          <w:szCs w:val="24"/>
        </w:rPr>
        <w:t xml:space="preserve"> Rather the United States argued that it was </w:t>
      </w:r>
      <w:r w:rsidR="00CF23F1" w:rsidRPr="003A105D">
        <w:rPr>
          <w:rFonts w:ascii="Times New Roman" w:hAnsi="Times New Roman" w:cs="Times New Roman"/>
          <w:sz w:val="24"/>
          <w:szCs w:val="24"/>
        </w:rPr>
        <w:t>paying for the same damages twice, and in doing so, the result would ru</w:t>
      </w:r>
      <w:r w:rsidR="00CF23F1">
        <w:rPr>
          <w:rFonts w:ascii="Times New Roman" w:hAnsi="Times New Roman" w:cs="Times New Roman"/>
          <w:sz w:val="24"/>
          <w:szCs w:val="24"/>
        </w:rPr>
        <w:t>n afoul of the policy to avoid “</w:t>
      </w:r>
      <w:r w:rsidR="00CF23F1" w:rsidRPr="003A105D">
        <w:rPr>
          <w:rFonts w:ascii="Times New Roman" w:hAnsi="Times New Roman" w:cs="Times New Roman"/>
          <w:sz w:val="24"/>
          <w:szCs w:val="24"/>
        </w:rPr>
        <w:t>overd</w:t>
      </w:r>
      <w:r w:rsidR="00CF23F1">
        <w:rPr>
          <w:rFonts w:ascii="Times New Roman" w:hAnsi="Times New Roman" w:cs="Times New Roman"/>
          <w:sz w:val="24"/>
          <w:szCs w:val="24"/>
        </w:rPr>
        <w:t>eterrence and overcompensation.”</w:t>
      </w:r>
      <w:r w:rsidR="00CF23F1">
        <w:rPr>
          <w:rStyle w:val="FootnoteReference"/>
          <w:rFonts w:ascii="Times New Roman" w:hAnsi="Times New Roman" w:cs="Times New Roman"/>
          <w:sz w:val="24"/>
          <w:szCs w:val="24"/>
        </w:rPr>
        <w:footnoteReference w:id="17"/>
      </w:r>
    </w:p>
    <w:p w:rsidR="00B27095" w:rsidRDefault="00B27095" w:rsidP="003D004D">
      <w:pPr>
        <w:spacing w:after="0" w:line="240" w:lineRule="auto"/>
        <w:ind w:firstLine="720"/>
        <w:jc w:val="both"/>
        <w:rPr>
          <w:rFonts w:ascii="Times New Roman" w:hAnsi="Times New Roman" w:cs="Times New Roman"/>
          <w:sz w:val="24"/>
          <w:szCs w:val="24"/>
        </w:rPr>
      </w:pPr>
    </w:p>
    <w:p w:rsidR="00D846E2" w:rsidRDefault="00FD6B32" w:rsidP="003D00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Court rejec</w:t>
      </w:r>
      <w:r w:rsidR="00582C33">
        <w:rPr>
          <w:rFonts w:ascii="Times New Roman" w:hAnsi="Times New Roman" w:cs="Times New Roman"/>
          <w:sz w:val="24"/>
          <w:szCs w:val="24"/>
        </w:rPr>
        <w:t>ted the United States’ argument</w:t>
      </w:r>
      <w:r>
        <w:rPr>
          <w:rFonts w:ascii="Times New Roman" w:hAnsi="Times New Roman" w:cs="Times New Roman"/>
          <w:sz w:val="24"/>
          <w:szCs w:val="24"/>
        </w:rPr>
        <w:t xml:space="preserve">. </w:t>
      </w:r>
      <w:r w:rsidR="006F641F">
        <w:rPr>
          <w:rFonts w:ascii="Times New Roman" w:hAnsi="Times New Roman" w:cs="Times New Roman"/>
          <w:sz w:val="24"/>
          <w:szCs w:val="24"/>
        </w:rPr>
        <w:t>Because the plaintiff and its employer had “</w:t>
      </w:r>
      <w:r w:rsidR="006F641F" w:rsidRPr="00B52A5B">
        <w:rPr>
          <w:rFonts w:ascii="Times New Roman" w:hAnsi="Times New Roman" w:cs="Times New Roman"/>
          <w:sz w:val="24"/>
          <w:szCs w:val="24"/>
        </w:rPr>
        <w:t>separate and independent losses,</w:t>
      </w:r>
      <w:r w:rsidR="006F641F">
        <w:rPr>
          <w:rFonts w:ascii="Times New Roman" w:hAnsi="Times New Roman" w:cs="Times New Roman"/>
          <w:sz w:val="24"/>
          <w:szCs w:val="24"/>
        </w:rPr>
        <w:t xml:space="preserve">” the United States, as </w:t>
      </w:r>
      <w:r w:rsidR="006F641F" w:rsidRPr="00B52A5B">
        <w:rPr>
          <w:rFonts w:ascii="Times New Roman" w:hAnsi="Times New Roman" w:cs="Times New Roman"/>
          <w:sz w:val="24"/>
          <w:szCs w:val="24"/>
        </w:rPr>
        <w:t>the sole-fault tortfeasor</w:t>
      </w:r>
      <w:r w:rsidR="006F641F">
        <w:rPr>
          <w:rFonts w:ascii="Times New Roman" w:hAnsi="Times New Roman" w:cs="Times New Roman"/>
          <w:sz w:val="24"/>
          <w:szCs w:val="24"/>
        </w:rPr>
        <w:t>, was not “</w:t>
      </w:r>
      <w:r w:rsidR="006F641F" w:rsidRPr="00B52A5B">
        <w:rPr>
          <w:rFonts w:ascii="Times New Roman" w:hAnsi="Times New Roman" w:cs="Times New Roman"/>
          <w:sz w:val="24"/>
          <w:szCs w:val="24"/>
        </w:rPr>
        <w:t>paying twice for the same injury</w:t>
      </w:r>
      <w:r w:rsidR="00F15A43">
        <w:rPr>
          <w:rFonts w:ascii="Times New Roman" w:hAnsi="Times New Roman" w:cs="Times New Roman"/>
          <w:sz w:val="24"/>
          <w:szCs w:val="24"/>
        </w:rPr>
        <w:t>.”</w:t>
      </w:r>
      <w:r w:rsidR="006F641F">
        <w:rPr>
          <w:rStyle w:val="FootnoteReference"/>
          <w:rFonts w:ascii="Times New Roman" w:hAnsi="Times New Roman" w:cs="Times New Roman"/>
          <w:sz w:val="24"/>
          <w:szCs w:val="24"/>
        </w:rPr>
        <w:footnoteReference w:id="18"/>
      </w:r>
      <w:r w:rsidR="00F15A43">
        <w:rPr>
          <w:rFonts w:ascii="Times New Roman" w:hAnsi="Times New Roman" w:cs="Times New Roman"/>
          <w:sz w:val="24"/>
          <w:szCs w:val="24"/>
        </w:rPr>
        <w:t xml:space="preserve"> Rather,</w:t>
      </w:r>
      <w:r w:rsidR="00AA010B">
        <w:rPr>
          <w:rFonts w:ascii="Times New Roman" w:hAnsi="Times New Roman" w:cs="Times New Roman"/>
          <w:sz w:val="24"/>
          <w:szCs w:val="24"/>
        </w:rPr>
        <w:t xml:space="preserve"> the United States would “</w:t>
      </w:r>
      <w:r w:rsidR="006F641F" w:rsidRPr="00B52A5B">
        <w:rPr>
          <w:rFonts w:ascii="Times New Roman" w:hAnsi="Times New Roman" w:cs="Times New Roman"/>
          <w:sz w:val="24"/>
          <w:szCs w:val="24"/>
        </w:rPr>
        <w:t xml:space="preserve">pay </w:t>
      </w:r>
      <w:r w:rsidR="00AA010B">
        <w:rPr>
          <w:rFonts w:ascii="Times New Roman" w:hAnsi="Times New Roman" w:cs="Times New Roman"/>
          <w:sz w:val="24"/>
          <w:szCs w:val="24"/>
        </w:rPr>
        <w:t>once, for two separate injuries . . .</w:t>
      </w:r>
      <w:r w:rsidR="006F641F" w:rsidRPr="00B52A5B">
        <w:rPr>
          <w:rFonts w:ascii="Times New Roman" w:hAnsi="Times New Roman" w:cs="Times New Roman"/>
          <w:sz w:val="24"/>
          <w:szCs w:val="24"/>
        </w:rPr>
        <w:t xml:space="preserve"> which happen to be in the same amount.</w:t>
      </w:r>
      <w:r w:rsidR="00AA010B">
        <w:rPr>
          <w:rFonts w:ascii="Times New Roman" w:hAnsi="Times New Roman" w:cs="Times New Roman"/>
          <w:sz w:val="24"/>
          <w:szCs w:val="24"/>
        </w:rPr>
        <w:t>”</w:t>
      </w:r>
      <w:r w:rsidR="00AA010B">
        <w:rPr>
          <w:rStyle w:val="FootnoteReference"/>
          <w:rFonts w:ascii="Times New Roman" w:hAnsi="Times New Roman" w:cs="Times New Roman"/>
          <w:sz w:val="24"/>
          <w:szCs w:val="24"/>
        </w:rPr>
        <w:footnoteReference w:id="19"/>
      </w:r>
      <w:r w:rsidR="00F15A43">
        <w:rPr>
          <w:rFonts w:ascii="Times New Roman" w:hAnsi="Times New Roman" w:cs="Times New Roman"/>
          <w:sz w:val="24"/>
          <w:szCs w:val="24"/>
        </w:rPr>
        <w:t xml:space="preserve"> Although the court acknowledged that the result “may be troubling,” “</w:t>
      </w:r>
      <w:r w:rsidR="00F15A43" w:rsidRPr="00B52A5B">
        <w:rPr>
          <w:rFonts w:ascii="Times New Roman" w:hAnsi="Times New Roman" w:cs="Times New Roman"/>
          <w:sz w:val="24"/>
          <w:szCs w:val="24"/>
        </w:rPr>
        <w:t>the collateral source rule is clear, as is the maintenance and cure recovery provision, and given the priority afforded to the policy that the tortfeasor should bear the responsibility for its conduct the Court finds no basis for deviation from either rule.</w:t>
      </w:r>
      <w:r w:rsidR="00F15A43">
        <w:rPr>
          <w:rFonts w:ascii="Times New Roman" w:hAnsi="Times New Roman" w:cs="Times New Roman"/>
          <w:sz w:val="24"/>
          <w:szCs w:val="24"/>
        </w:rPr>
        <w:t>”</w:t>
      </w:r>
      <w:r w:rsidR="00F15A43">
        <w:rPr>
          <w:rStyle w:val="FootnoteReference"/>
          <w:rFonts w:ascii="Times New Roman" w:hAnsi="Times New Roman" w:cs="Times New Roman"/>
          <w:sz w:val="24"/>
          <w:szCs w:val="24"/>
        </w:rPr>
        <w:footnoteReference w:id="20"/>
      </w:r>
      <w:r w:rsidR="00F15A43">
        <w:rPr>
          <w:rFonts w:ascii="Times New Roman" w:hAnsi="Times New Roman" w:cs="Times New Roman"/>
          <w:sz w:val="24"/>
          <w:szCs w:val="24"/>
        </w:rPr>
        <w:t xml:space="preserve"> </w:t>
      </w:r>
    </w:p>
    <w:p w:rsidR="00C7714B" w:rsidRDefault="00C7714B" w:rsidP="003D004D">
      <w:pPr>
        <w:spacing w:after="0" w:line="240" w:lineRule="auto"/>
        <w:ind w:firstLine="720"/>
        <w:jc w:val="both"/>
        <w:rPr>
          <w:rFonts w:ascii="Times New Roman" w:hAnsi="Times New Roman" w:cs="Times New Roman"/>
          <w:sz w:val="24"/>
          <w:szCs w:val="24"/>
        </w:rPr>
      </w:pPr>
    </w:p>
    <w:p w:rsidR="006A0CDC" w:rsidRDefault="008B598F" w:rsidP="003D004D">
      <w:pPr>
        <w:spacing w:after="0" w:line="240" w:lineRule="auto"/>
        <w:rPr>
          <w:rFonts w:ascii="Times New Roman" w:hAnsi="Times New Roman" w:cs="Times New Roman"/>
          <w:b/>
          <w:sz w:val="24"/>
          <w:szCs w:val="24"/>
        </w:rPr>
      </w:pPr>
      <w:r w:rsidRPr="005D12E5">
        <w:rPr>
          <w:rFonts w:ascii="Times New Roman" w:hAnsi="Times New Roman" w:cs="Times New Roman"/>
          <w:b/>
          <w:sz w:val="24"/>
          <w:szCs w:val="24"/>
        </w:rPr>
        <w:t>Procedure for</w:t>
      </w:r>
      <w:r w:rsidR="00AA69EA" w:rsidRPr="005D12E5">
        <w:rPr>
          <w:rFonts w:ascii="Times New Roman" w:hAnsi="Times New Roman" w:cs="Times New Roman"/>
          <w:b/>
          <w:sz w:val="24"/>
          <w:szCs w:val="24"/>
        </w:rPr>
        <w:t xml:space="preserve"> compelling payment of maintenance and cure - </w:t>
      </w:r>
      <w:r w:rsidRPr="003D004D">
        <w:rPr>
          <w:rFonts w:ascii="Times New Roman" w:hAnsi="Times New Roman" w:cs="Times New Roman"/>
          <w:b/>
          <w:i/>
          <w:sz w:val="24"/>
          <w:szCs w:val="24"/>
        </w:rPr>
        <w:t xml:space="preserve">Helix Energy Solutions Group, </w:t>
      </w:r>
      <w:r w:rsidR="005D12E5" w:rsidRPr="003D004D">
        <w:rPr>
          <w:rFonts w:ascii="Times New Roman" w:hAnsi="Times New Roman" w:cs="Times New Roman"/>
          <w:b/>
          <w:i/>
          <w:sz w:val="24"/>
          <w:szCs w:val="24"/>
        </w:rPr>
        <w:t>Inc. v. Howard</w:t>
      </w:r>
      <w:r w:rsidR="005D12E5" w:rsidRPr="005D12E5">
        <w:rPr>
          <w:rFonts w:ascii="Times New Roman" w:hAnsi="Times New Roman" w:cs="Times New Roman"/>
          <w:b/>
          <w:sz w:val="24"/>
          <w:szCs w:val="24"/>
        </w:rPr>
        <w:t xml:space="preserve">, 452 S.W.3d 40 </w:t>
      </w:r>
      <w:r w:rsidRPr="005D12E5">
        <w:rPr>
          <w:rFonts w:ascii="Times New Roman" w:hAnsi="Times New Roman" w:cs="Times New Roman"/>
          <w:b/>
          <w:sz w:val="24"/>
          <w:szCs w:val="24"/>
        </w:rPr>
        <w:t>(Tex.</w:t>
      </w:r>
      <w:r w:rsidR="003A2D8C">
        <w:rPr>
          <w:rFonts w:ascii="Times New Roman" w:hAnsi="Times New Roman" w:cs="Times New Roman"/>
          <w:b/>
          <w:sz w:val="24"/>
          <w:szCs w:val="24"/>
        </w:rPr>
        <w:t xml:space="preserve"> App. Houston-14th Dist. 2014)</w:t>
      </w:r>
    </w:p>
    <w:p w:rsidR="003D004D" w:rsidRPr="005D12E5" w:rsidRDefault="003D004D" w:rsidP="003D004D">
      <w:pPr>
        <w:spacing w:after="0" w:line="240" w:lineRule="auto"/>
        <w:rPr>
          <w:rFonts w:ascii="Times New Roman" w:hAnsi="Times New Roman" w:cs="Times New Roman"/>
          <w:b/>
          <w:sz w:val="24"/>
          <w:szCs w:val="24"/>
        </w:rPr>
      </w:pPr>
    </w:p>
    <w:p w:rsidR="00AA69EA" w:rsidRDefault="00911BB4" w:rsidP="003D004D">
      <w:pPr>
        <w:pStyle w:val="Normal0"/>
        <w:jc w:val="both"/>
      </w:pPr>
      <w:r>
        <w:rPr>
          <w:b/>
        </w:rPr>
        <w:tab/>
      </w:r>
      <w:r>
        <w:t xml:space="preserve">The issue in </w:t>
      </w:r>
      <w:r w:rsidRPr="00911BB4">
        <w:rPr>
          <w:i/>
        </w:rPr>
        <w:t>Helix Energy Solutions Group, Inc. v. Howard</w:t>
      </w:r>
      <w:r>
        <w:t xml:space="preserve">, was </w:t>
      </w:r>
      <w:r w:rsidR="001020F3">
        <w:t>whether a seaman could compel his</w:t>
      </w:r>
      <w:r>
        <w:t xml:space="preserve"> employer to</w:t>
      </w:r>
      <w:r w:rsidR="001020F3">
        <w:t xml:space="preserve"> institute maintenance and cure benefits</w:t>
      </w:r>
      <w:r w:rsidR="005D12E5">
        <w:t xml:space="preserve"> by filing a “motion to compel</w:t>
      </w:r>
      <w:r w:rsidR="00F81C80">
        <w:t>,</w:t>
      </w:r>
      <w:r w:rsidR="005D12E5">
        <w:t>”</w:t>
      </w:r>
      <w:r w:rsidR="00F81C80">
        <w:t xml:space="preserve"> rather than filing a Motion for Summary Judgment or seeking a determination on the merits of his </w:t>
      </w:r>
      <w:r w:rsidR="00F81C80">
        <w:lastRenderedPageBreak/>
        <w:t>maintenance and cure claim.</w:t>
      </w:r>
      <w:r>
        <w:rPr>
          <w:rStyle w:val="FootnoteReference"/>
        </w:rPr>
        <w:footnoteReference w:id="21"/>
      </w:r>
      <w:r w:rsidR="005D12E5">
        <w:t xml:space="preserve"> The </w:t>
      </w:r>
      <w:r w:rsidR="00724651">
        <w:t xml:space="preserve">Texas </w:t>
      </w:r>
      <w:r w:rsidR="00F07538">
        <w:t xml:space="preserve">state </w:t>
      </w:r>
      <w:r w:rsidR="005D12E5">
        <w:t xml:space="preserve">trial court </w:t>
      </w:r>
      <w:r w:rsidR="00F07538">
        <w:t xml:space="preserve">had granted the seaman’s “motion to compel” and ordered the employer to institute maintenance and cure payments going forward. The employer appealed, arguing that the trial court had issued a temporary injunction in violation of the requirements of Texas Rule of Civil Procedure 683. </w:t>
      </w:r>
      <w:r w:rsidR="00613285">
        <w:t>The Texas Court of Appeals agreed and vacated the trial court’s order.</w:t>
      </w:r>
      <w:r w:rsidR="00613285">
        <w:rPr>
          <w:rStyle w:val="FootnoteReference"/>
        </w:rPr>
        <w:footnoteReference w:id="22"/>
      </w:r>
      <w:r w:rsidR="00613285">
        <w:t xml:space="preserve"> </w:t>
      </w:r>
    </w:p>
    <w:p w:rsidR="006B0C75" w:rsidRDefault="006B0C75" w:rsidP="003D004D">
      <w:pPr>
        <w:pStyle w:val="Normal0"/>
        <w:jc w:val="both"/>
      </w:pPr>
    </w:p>
    <w:p w:rsidR="00017AD2" w:rsidRDefault="003A34BD" w:rsidP="003D004D">
      <w:pPr>
        <w:pStyle w:val="Normal0"/>
        <w:jc w:val="both"/>
        <w:rPr>
          <w:rStyle w:val="ssrfcpassagedeactivated"/>
        </w:rPr>
      </w:pPr>
      <w:r>
        <w:tab/>
        <w:t xml:space="preserve">The </w:t>
      </w:r>
      <w:r w:rsidR="00B4678C">
        <w:t>court held that state law</w:t>
      </w:r>
      <w:r w:rsidR="00721FDC">
        <w:t xml:space="preserve">, rather than federal law, applied </w:t>
      </w:r>
      <w:r w:rsidR="00B4678C">
        <w:t xml:space="preserve">to the </w:t>
      </w:r>
      <w:r w:rsidR="00C220B0">
        <w:t xml:space="preserve">procedural </w:t>
      </w:r>
      <w:r w:rsidR="00721FDC">
        <w:t xml:space="preserve">question of whether a claim for maintenance and cure could be decided by the court on a </w:t>
      </w:r>
      <w:r w:rsidR="003A2D8C">
        <w:t>“</w:t>
      </w:r>
      <w:r w:rsidR="00721FDC">
        <w:t>motion to compel.</w:t>
      </w:r>
      <w:r w:rsidR="003A2D8C">
        <w:t>”</w:t>
      </w:r>
      <w:r w:rsidR="00721FDC">
        <w:rPr>
          <w:rStyle w:val="FootnoteReference"/>
        </w:rPr>
        <w:footnoteReference w:id="23"/>
      </w:r>
      <w:r w:rsidR="003A2D8C">
        <w:t xml:space="preserve"> </w:t>
      </w:r>
      <w:r w:rsidR="003A2D8C">
        <w:rPr>
          <w:rStyle w:val="ssrfcpassagedeactivated"/>
        </w:rPr>
        <w:t>Because the trial court’s order required the employer to perform certain actions—specifically, to make continuing payments to the plaintiff—it is was a “classic example of a mandatory injunction.”</w:t>
      </w:r>
      <w:r w:rsidR="003A2D8C">
        <w:rPr>
          <w:rStyle w:val="FootnoteReference"/>
        </w:rPr>
        <w:footnoteReference w:id="24"/>
      </w:r>
      <w:r w:rsidR="003A2D8C">
        <w:rPr>
          <w:rStyle w:val="ssrfcpassagedeactivated"/>
        </w:rPr>
        <w:t xml:space="preserve"> </w:t>
      </w:r>
    </w:p>
    <w:p w:rsidR="00017AD2" w:rsidRDefault="00017AD2" w:rsidP="003D004D">
      <w:pPr>
        <w:pStyle w:val="Normal0"/>
        <w:jc w:val="both"/>
        <w:rPr>
          <w:rStyle w:val="ssrfcpassagedeactivated"/>
        </w:rPr>
      </w:pPr>
    </w:p>
    <w:p w:rsidR="003A2D8C" w:rsidRDefault="005572DF" w:rsidP="003D004D">
      <w:pPr>
        <w:pStyle w:val="Normal0"/>
        <w:ind w:firstLine="720"/>
        <w:jc w:val="both"/>
      </w:pPr>
      <w:r>
        <w:rPr>
          <w:rStyle w:val="ssrfcpassagedeactivated"/>
        </w:rPr>
        <w:t xml:space="preserve">Texas Rule of Civil Procedure 683 requires that an injunction set forth the reasons for its issuance, be specific in terms, describe in reasonable detail the acts to be restrained, and </w:t>
      </w:r>
      <w:r w:rsidR="005A7323">
        <w:rPr>
          <w:rStyle w:val="ssrfcpassagedeactivated"/>
        </w:rPr>
        <w:t>“</w:t>
      </w:r>
      <w:r>
        <w:rPr>
          <w:rStyle w:val="ssrfcpassagedeactivated"/>
        </w:rPr>
        <w:t>include an order setting the cause for trial on the merits with respect to the ultimate relief sought.</w:t>
      </w:r>
      <w:r w:rsidR="005A7323">
        <w:rPr>
          <w:rStyle w:val="ssrfcpassagedeactivated"/>
        </w:rPr>
        <w:t>”</w:t>
      </w:r>
      <w:r>
        <w:rPr>
          <w:rStyle w:val="FootnoteReference"/>
        </w:rPr>
        <w:footnoteReference w:id="25"/>
      </w:r>
      <w:r w:rsidR="005A7323">
        <w:rPr>
          <w:rStyle w:val="ssrfcpassagedeactivated"/>
        </w:rPr>
        <w:t xml:space="preserve"> Although the trial court’s order failed to comply with any of these requirements, </w:t>
      </w:r>
      <w:r w:rsidR="005B4EA3">
        <w:rPr>
          <w:rStyle w:val="ssrfcpassagedeactivated"/>
        </w:rPr>
        <w:t>the plaintiff argued that the trial court “arrived at the correct result” under federal maritime law.</w:t>
      </w:r>
      <w:r w:rsidR="005B4EA3">
        <w:rPr>
          <w:rStyle w:val="FootnoteReference"/>
        </w:rPr>
        <w:footnoteReference w:id="26"/>
      </w:r>
      <w:r w:rsidR="005B4EA3">
        <w:rPr>
          <w:rStyle w:val="ssrfcpassagedeactivated"/>
        </w:rPr>
        <w:t xml:space="preserve"> The appellate court found the trial court’s order void for failure to comply with Texas Rule of Civil Procedure 683.</w:t>
      </w:r>
      <w:r w:rsidR="005E62A3">
        <w:rPr>
          <w:rStyle w:val="FootnoteReference"/>
        </w:rPr>
        <w:footnoteReference w:id="27"/>
      </w:r>
      <w:r w:rsidR="005B4EA3">
        <w:rPr>
          <w:rStyle w:val="ssrfcpassagedeactivated"/>
        </w:rPr>
        <w:t xml:space="preserve"> Therefore the appellate court could not </w:t>
      </w:r>
      <w:r w:rsidR="003A0C51">
        <w:rPr>
          <w:rStyle w:val="ssrfcpassagedeactivated"/>
        </w:rPr>
        <w:t>address the plaintiff’s arguments that he was entitled to maintenance and cure under federal maritime law.</w:t>
      </w:r>
      <w:r w:rsidR="003A0C51">
        <w:rPr>
          <w:rStyle w:val="FootnoteReference"/>
        </w:rPr>
        <w:footnoteReference w:id="28"/>
      </w:r>
      <w:r w:rsidR="003A0C51">
        <w:rPr>
          <w:rStyle w:val="ssrfcpassagedeactivated"/>
        </w:rPr>
        <w:t xml:space="preserve"> </w:t>
      </w:r>
      <w:r w:rsidR="00017AD2">
        <w:rPr>
          <w:rStyle w:val="ssrfcpassagedeactivated"/>
        </w:rPr>
        <w:t xml:space="preserve">It appears that the proper procedural vehicle to seek institution of maintenance and cure, at least under Texas state law, is to file a Motion for Summary Judgment or </w:t>
      </w:r>
      <w:r w:rsidR="000B6508">
        <w:rPr>
          <w:rStyle w:val="ssrfcpassagedeactivated"/>
        </w:rPr>
        <w:t xml:space="preserve">seek a determination on the merits at a bench trial. </w:t>
      </w:r>
    </w:p>
    <w:p w:rsidR="008C58E6" w:rsidRDefault="008C58E6" w:rsidP="003D004D">
      <w:pPr>
        <w:pStyle w:val="Normal0"/>
        <w:ind w:firstLine="720"/>
        <w:jc w:val="both"/>
      </w:pPr>
    </w:p>
    <w:p w:rsidR="00E742CD" w:rsidRDefault="00D545C2" w:rsidP="003D004D">
      <w:pPr>
        <w:pStyle w:val="Normal0"/>
        <w:rPr>
          <w:b/>
        </w:rPr>
      </w:pPr>
      <w:r>
        <w:rPr>
          <w:b/>
        </w:rPr>
        <w:t>The</w:t>
      </w:r>
      <w:r w:rsidR="003A7073" w:rsidRPr="00E742CD">
        <w:rPr>
          <w:b/>
        </w:rPr>
        <w:t xml:space="preserve"> automatic bankruptcy stay </w:t>
      </w:r>
      <w:r>
        <w:rPr>
          <w:b/>
        </w:rPr>
        <w:t>and</w:t>
      </w:r>
      <w:r w:rsidR="003A7073" w:rsidRPr="00E742CD">
        <w:rPr>
          <w:b/>
        </w:rPr>
        <w:t xml:space="preserve"> maintenance and cure</w:t>
      </w:r>
      <w:r w:rsidR="00E742CD" w:rsidRPr="00E742CD">
        <w:rPr>
          <w:b/>
        </w:rPr>
        <w:t xml:space="preserve"> claims</w:t>
      </w:r>
      <w:r>
        <w:rPr>
          <w:b/>
        </w:rPr>
        <w:t xml:space="preserve"> - </w:t>
      </w:r>
      <w:r w:rsidR="003A7073" w:rsidRPr="00E742CD">
        <w:rPr>
          <w:rFonts w:eastAsia="Times"/>
          <w:b/>
          <w:i/>
        </w:rPr>
        <w:t>Bratkowski v. Cal Dive Int'l, Inc.</w:t>
      </w:r>
      <w:r w:rsidR="003A7073" w:rsidRPr="00E742CD">
        <w:rPr>
          <w:b/>
        </w:rPr>
        <w:t>, 2015 U.S. Dist. LEXIS 5164</w:t>
      </w:r>
      <w:r w:rsidR="00294098">
        <w:rPr>
          <w:b/>
        </w:rPr>
        <w:t>3</w:t>
      </w:r>
      <w:r w:rsidR="003A7073" w:rsidRPr="00E742CD">
        <w:rPr>
          <w:b/>
        </w:rPr>
        <w:t xml:space="preserve"> (</w:t>
      </w:r>
      <w:r w:rsidR="00E742CD">
        <w:rPr>
          <w:b/>
        </w:rPr>
        <w:t>E.D. La. Apr. 20, 2015)</w:t>
      </w:r>
    </w:p>
    <w:p w:rsidR="006B0C75" w:rsidRDefault="006B0C75" w:rsidP="003D004D">
      <w:pPr>
        <w:pStyle w:val="Normal0"/>
        <w:jc w:val="both"/>
        <w:rPr>
          <w:b/>
        </w:rPr>
      </w:pPr>
    </w:p>
    <w:p w:rsidR="00F85F26" w:rsidRDefault="00E742CD" w:rsidP="003D004D">
      <w:pPr>
        <w:pStyle w:val="Normal0"/>
        <w:ind w:firstLine="720"/>
        <w:jc w:val="both"/>
      </w:pPr>
      <w:r>
        <w:t xml:space="preserve">In </w:t>
      </w:r>
      <w:r w:rsidRPr="00E742CD">
        <w:rPr>
          <w:i/>
        </w:rPr>
        <w:t>Bratkowski v. Cal Dive Int'l, Inc.</w:t>
      </w:r>
      <w:r w:rsidRPr="00E742CD">
        <w:t xml:space="preserve">, </w:t>
      </w:r>
      <w:r>
        <w:t xml:space="preserve">the plaintiff sued his employer </w:t>
      </w:r>
      <w:r w:rsidR="00294098">
        <w:t xml:space="preserve">in the U.S. District Court for the Eastern District of Louisiana </w:t>
      </w:r>
      <w:r>
        <w:t xml:space="preserve">for Jones </w:t>
      </w:r>
      <w:r w:rsidR="003A7073" w:rsidRPr="00B44185">
        <w:t xml:space="preserve">Act negligence, as well as under </w:t>
      </w:r>
      <w:r w:rsidR="008A12D2">
        <w:t xml:space="preserve">the </w:t>
      </w:r>
      <w:r w:rsidR="003A7073" w:rsidRPr="00B44185">
        <w:t xml:space="preserve">general maritime law for </w:t>
      </w:r>
      <w:r>
        <w:t xml:space="preserve">unseaworthiness and </w:t>
      </w:r>
      <w:r w:rsidR="003A7073" w:rsidRPr="00B44185">
        <w:t>for maintenance and cure.</w:t>
      </w:r>
      <w:r>
        <w:rPr>
          <w:rStyle w:val="FootnoteReference"/>
        </w:rPr>
        <w:footnoteReference w:id="29"/>
      </w:r>
      <w:r w:rsidR="003A7073" w:rsidRPr="00B44185">
        <w:t xml:space="preserve"> </w:t>
      </w:r>
      <w:r w:rsidR="008A12D2">
        <w:t xml:space="preserve">One month after the plaintiff filed suit, </w:t>
      </w:r>
      <w:r w:rsidR="00D545C2">
        <w:t xml:space="preserve">the </w:t>
      </w:r>
      <w:r w:rsidR="008A12D2">
        <w:t xml:space="preserve">defendant-employer filed a </w:t>
      </w:r>
      <w:r w:rsidR="00D545C2">
        <w:t xml:space="preserve">Voluntary Petition for Chapter 11 Bankruptcy </w:t>
      </w:r>
      <w:r w:rsidR="00D545C2" w:rsidRPr="00B44185">
        <w:t xml:space="preserve">in the </w:t>
      </w:r>
      <w:r w:rsidR="00D545C2">
        <w:t xml:space="preserve">U.S. </w:t>
      </w:r>
      <w:r w:rsidR="00D545C2" w:rsidRPr="00B44185">
        <w:t>District of Delaware</w:t>
      </w:r>
      <w:r w:rsidR="00294098">
        <w:t>, thereby invoking the protections of the automatic bankruptcy stay under 11 U.S.C. § 362(a)</w:t>
      </w:r>
      <w:r w:rsidR="00294098" w:rsidRPr="00B44185">
        <w:t>.</w:t>
      </w:r>
      <w:r w:rsidR="00294098">
        <w:rPr>
          <w:rStyle w:val="FootnoteReference"/>
        </w:rPr>
        <w:footnoteReference w:id="30"/>
      </w:r>
      <w:r w:rsidR="00294098">
        <w:t xml:space="preserve"> </w:t>
      </w:r>
      <w:r w:rsidR="00D545C2">
        <w:t xml:space="preserve">In the bankruptcy court, the plaintiff filed a Motion to Lift the </w:t>
      </w:r>
      <w:r w:rsidR="001D1B84">
        <w:t xml:space="preserve">Automatic </w:t>
      </w:r>
      <w:r w:rsidR="00294098">
        <w:t>Stay of the proceedings, including with respect to his maintenance and cure claims</w:t>
      </w:r>
      <w:r w:rsidR="001D1B84">
        <w:t>.</w:t>
      </w:r>
      <w:r w:rsidR="001D1B84">
        <w:rPr>
          <w:rStyle w:val="FootnoteReference"/>
        </w:rPr>
        <w:footnoteReference w:id="31"/>
      </w:r>
      <w:r w:rsidR="001D1B84">
        <w:t xml:space="preserve"> </w:t>
      </w:r>
      <w:r w:rsidR="00F85F26">
        <w:t xml:space="preserve">The employer </w:t>
      </w:r>
      <w:r w:rsidR="00F85F26">
        <w:lastRenderedPageBreak/>
        <w:t>then filed a Motion to Stay</w:t>
      </w:r>
      <w:r w:rsidR="001D1B84">
        <w:t xml:space="preserve"> </w:t>
      </w:r>
      <w:r w:rsidR="00F85F26">
        <w:t xml:space="preserve">the Proceedings in the district court </w:t>
      </w:r>
      <w:r w:rsidR="00F85F26" w:rsidRPr="00B44185">
        <w:t>in light of</w:t>
      </w:r>
      <w:r w:rsidR="00F85F26">
        <w:t xml:space="preserve"> </w:t>
      </w:r>
      <w:r w:rsidR="00F85F26" w:rsidRPr="006D2048">
        <w:t>the bankruptcy proceeding pending in Delaware.</w:t>
      </w:r>
      <w:r w:rsidR="00F85F26">
        <w:rPr>
          <w:rStyle w:val="FootnoteReference"/>
        </w:rPr>
        <w:footnoteReference w:id="32"/>
      </w:r>
    </w:p>
    <w:p w:rsidR="00B43191" w:rsidRDefault="00B43191" w:rsidP="003D004D">
      <w:pPr>
        <w:pStyle w:val="Normal0"/>
        <w:ind w:firstLine="720"/>
        <w:jc w:val="both"/>
      </w:pPr>
    </w:p>
    <w:p w:rsidR="000E1420" w:rsidRDefault="001D1B84" w:rsidP="003D004D">
      <w:pPr>
        <w:pStyle w:val="Normal0"/>
        <w:ind w:firstLine="720"/>
        <w:jc w:val="both"/>
      </w:pPr>
      <w:r>
        <w:t>According to the plaintiff’s pleadings in the district court, he was receiving curative treatment for his lower back</w:t>
      </w:r>
      <w:r w:rsidR="009A02B1">
        <w:t xml:space="preserve"> and had</w:t>
      </w:r>
      <w:r>
        <w:t xml:space="preserve"> not yet rea</w:t>
      </w:r>
      <w:r w:rsidR="009A02B1">
        <w:t>ched maximum medical improvement. However,</w:t>
      </w:r>
      <w:r w:rsidR="00814D0B">
        <w:t xml:space="preserve"> his maintenance and cur</w:t>
      </w:r>
      <w:r w:rsidR="00B97AAC">
        <w:t>e</w:t>
      </w:r>
      <w:r w:rsidR="00814D0B">
        <w:t xml:space="preserve"> benefits were “prematurely terminated”</w:t>
      </w:r>
      <w:r w:rsidR="00B97AAC">
        <w:t xml:space="preserve"> shortly following the employer’s filing of bankruptcy</w:t>
      </w:r>
      <w:r>
        <w:t>.</w:t>
      </w:r>
      <w:r>
        <w:rPr>
          <w:rStyle w:val="FootnoteReference"/>
        </w:rPr>
        <w:footnoteReference w:id="33"/>
      </w:r>
      <w:r>
        <w:t xml:space="preserve"> </w:t>
      </w:r>
    </w:p>
    <w:p w:rsidR="00B43191" w:rsidRDefault="00B43191" w:rsidP="003D004D">
      <w:pPr>
        <w:pStyle w:val="Normal0"/>
        <w:ind w:firstLine="720"/>
        <w:jc w:val="both"/>
      </w:pPr>
    </w:p>
    <w:p w:rsidR="008848E2" w:rsidRDefault="00BA09C7" w:rsidP="003D004D">
      <w:pPr>
        <w:pStyle w:val="Normal0"/>
        <w:ind w:firstLine="720"/>
        <w:jc w:val="both"/>
      </w:pPr>
      <w:r>
        <w:t xml:space="preserve">The district court declined to </w:t>
      </w:r>
      <w:r w:rsidRPr="006D2048">
        <w:t>delay its ruling</w:t>
      </w:r>
      <w:r>
        <w:t xml:space="preserve"> on the employer’s Motion to Stay until Motion to Lift the S</w:t>
      </w:r>
      <w:r w:rsidRPr="006D2048">
        <w:t>tay (</w:t>
      </w:r>
      <w:r>
        <w:t>pending in bankruptcy court) had</w:t>
      </w:r>
      <w:r w:rsidRPr="006D2048">
        <w:t xml:space="preserve"> been resolved</w:t>
      </w:r>
      <w:r>
        <w:t>.</w:t>
      </w:r>
      <w:r>
        <w:rPr>
          <w:rStyle w:val="FootnoteReference"/>
        </w:rPr>
        <w:footnoteReference w:id="34"/>
      </w:r>
      <w:r w:rsidR="000E2034">
        <w:t xml:space="preserve"> The district court also declined to hold that the</w:t>
      </w:r>
      <w:r w:rsidRPr="006D2048">
        <w:t xml:space="preserve"> automatic stay</w:t>
      </w:r>
      <w:r w:rsidRPr="006D2048">
        <w:rPr>
          <w:b/>
        </w:rPr>
        <w:t> </w:t>
      </w:r>
      <w:r w:rsidR="000E2034">
        <w:t>did</w:t>
      </w:r>
      <w:r w:rsidRPr="006D2048">
        <w:t xml:space="preserve"> not apply to an injured seaman's claims for maintenance and cure</w:t>
      </w:r>
      <w:r w:rsidR="00AD7405">
        <w:t>, holding that the “</w:t>
      </w:r>
      <w:r w:rsidR="00AD7405" w:rsidRPr="00C36B0A">
        <w:t xml:space="preserve">automatic stay that is already in effect by operation of </w:t>
      </w:r>
      <w:r w:rsidR="00AD7405" w:rsidRPr="00AD7405">
        <w:t>11 U.S.C. § 362</w:t>
      </w:r>
      <w:r w:rsidR="00AD7405" w:rsidRPr="00C36B0A">
        <w:t xml:space="preserve"> has suspended this Court's authority to continue the judicial proceedings pending against the debtor</w:t>
      </w:r>
      <w:r w:rsidR="00AD7405">
        <w:t>.”</w:t>
      </w:r>
      <w:r w:rsidR="006005D7">
        <w:rPr>
          <w:rStyle w:val="FootnoteReference"/>
        </w:rPr>
        <w:footnoteReference w:id="35"/>
      </w:r>
      <w:r w:rsidR="00AD7405">
        <w:t xml:space="preserve"> The </w:t>
      </w:r>
      <w:r w:rsidR="003E44D5">
        <w:t>c</w:t>
      </w:r>
      <w:r w:rsidR="00AD7405">
        <w:t xml:space="preserve">ourt ruled that </w:t>
      </w:r>
      <w:r w:rsidR="003E44D5">
        <w:t>the plaintiff could seek relief from the district court if the bankruptcy court lifted the stay.</w:t>
      </w:r>
      <w:r w:rsidR="003E44D5">
        <w:rPr>
          <w:rStyle w:val="FootnoteReference"/>
        </w:rPr>
        <w:footnoteReference w:id="36"/>
      </w:r>
      <w:r w:rsidR="003E44D5">
        <w:t xml:space="preserve"> </w:t>
      </w:r>
      <w:r w:rsidR="006C25DD">
        <w:t>The</w:t>
      </w:r>
      <w:r w:rsidR="003E4FA7">
        <w:t xml:space="preserve"> district court’s decision appears limited to whether it (as opposed to the bankruptcy court) had the “authority” to lift or disregard the stay as it concerned the plaintiff’s maintenance and cure claims. The district court </w:t>
      </w:r>
      <w:r w:rsidR="00E14C7C">
        <w:t>noted</w:t>
      </w:r>
      <w:r w:rsidR="006C25DD">
        <w:t>, however,</w:t>
      </w:r>
      <w:r w:rsidR="00E14C7C">
        <w:t xml:space="preserve"> </w:t>
      </w:r>
      <w:r w:rsidR="003E4FA7">
        <w:t>that the duty “</w:t>
      </w:r>
      <w:r w:rsidR="003E4FA7" w:rsidRPr="003E4FA7">
        <w:t>to pay maintenance and cure continues even after a shipowner declares bankruptcy</w:t>
      </w:r>
      <w:r w:rsidR="003E4FA7">
        <w:t>.”</w:t>
      </w:r>
      <w:r w:rsidR="00313DB3">
        <w:rPr>
          <w:rStyle w:val="FootnoteReference"/>
        </w:rPr>
        <w:footnoteReference w:id="37"/>
      </w:r>
      <w:r w:rsidR="003E4FA7">
        <w:t xml:space="preserve"> </w:t>
      </w:r>
    </w:p>
    <w:p w:rsidR="00195AB1" w:rsidRDefault="00195AB1" w:rsidP="003D004D">
      <w:pPr>
        <w:pStyle w:val="Normal0"/>
        <w:ind w:firstLine="720"/>
        <w:jc w:val="both"/>
      </w:pPr>
    </w:p>
    <w:p w:rsidR="0023359E" w:rsidRDefault="003A7073" w:rsidP="003D004D">
      <w:pPr>
        <w:pStyle w:val="Normal0"/>
        <w:rPr>
          <w:b/>
        </w:rPr>
      </w:pPr>
      <w:r w:rsidRPr="002B7D4B">
        <w:rPr>
          <w:b/>
        </w:rPr>
        <w:t xml:space="preserve">Direct </w:t>
      </w:r>
      <w:r w:rsidR="004950C7" w:rsidRPr="002B7D4B">
        <w:rPr>
          <w:b/>
        </w:rPr>
        <w:t xml:space="preserve">actions </w:t>
      </w:r>
      <w:r w:rsidR="006C25DD" w:rsidRPr="002B7D4B">
        <w:rPr>
          <w:b/>
        </w:rPr>
        <w:t xml:space="preserve">against insurers for maintenance and cure — </w:t>
      </w:r>
      <w:r w:rsidRPr="002B7D4B">
        <w:rPr>
          <w:b/>
          <w:i/>
        </w:rPr>
        <w:t>Bratkowski v. Aspen Ins. UK, Ltd.</w:t>
      </w:r>
      <w:r w:rsidRPr="002B7D4B">
        <w:rPr>
          <w:b/>
        </w:rPr>
        <w:t>, 2015 U.S. Dist. LEXIS 78536, 2015 AMC 1567 (E.D. La. 2015)</w:t>
      </w:r>
    </w:p>
    <w:p w:rsidR="00195AB1" w:rsidRPr="002B7D4B" w:rsidRDefault="00195AB1" w:rsidP="003D004D">
      <w:pPr>
        <w:pStyle w:val="Normal0"/>
        <w:rPr>
          <w:b/>
        </w:rPr>
      </w:pPr>
    </w:p>
    <w:p w:rsidR="006C25DD" w:rsidRDefault="006C25DD" w:rsidP="003D004D">
      <w:pPr>
        <w:pStyle w:val="Normal0"/>
        <w:ind w:firstLine="720"/>
        <w:jc w:val="both"/>
      </w:pPr>
      <w:r>
        <w:t xml:space="preserve">In </w:t>
      </w:r>
      <w:r w:rsidRPr="00E742CD">
        <w:rPr>
          <w:i/>
        </w:rPr>
        <w:t>Bratkowski v. Cal Dive Int'l, Inc.</w:t>
      </w:r>
      <w:r w:rsidRPr="00E742CD">
        <w:t xml:space="preserve">, </w:t>
      </w:r>
      <w:r w:rsidR="001B396C">
        <w:t>following the employer-defendant’s filing of Chapter 11 bankruptcy, the plaintiff brought suit against the defendant’s liability insurer, Aspen Insurance UK Limited</w:t>
      </w:r>
      <w:r w:rsidR="00CA507A">
        <w:t>, pursuant to the Louisiana Direct Action statute</w:t>
      </w:r>
      <w:r w:rsidR="001B396C">
        <w:t>.</w:t>
      </w:r>
      <w:r w:rsidR="004950C7">
        <w:rPr>
          <w:rStyle w:val="FootnoteReference"/>
        </w:rPr>
        <w:footnoteReference w:id="38"/>
      </w:r>
      <w:r w:rsidR="001B396C">
        <w:t xml:space="preserve"> </w:t>
      </w:r>
      <w:r w:rsidR="002B7D4B">
        <w:t>The insurer filed a Motion for Summary Judgment seeking the dismissal of all claims against it, including plaintiff’s claims for maintenance and cure.</w:t>
      </w:r>
      <w:r w:rsidR="002B7D4B">
        <w:rPr>
          <w:rStyle w:val="FootnoteReference"/>
        </w:rPr>
        <w:footnoteReference w:id="39"/>
      </w:r>
      <w:r w:rsidR="002B7D4B">
        <w:t xml:space="preserve"> </w:t>
      </w:r>
      <w:r w:rsidR="00205CA8">
        <w:t>Specifically, it argued that the policies of insurance were issued and delivered in Houston, Texas, not Louisiana, and that the accident sued upon occurred on the high seas on a vessel located on the Outer Continental Shelf, not within the territorial waters of the State of Louisiana.</w:t>
      </w:r>
      <w:r w:rsidR="00205CA8">
        <w:rPr>
          <w:rStyle w:val="FootnoteReference"/>
        </w:rPr>
        <w:footnoteReference w:id="40"/>
      </w:r>
      <w:r w:rsidR="00205CA8">
        <w:t xml:space="preserve"> </w:t>
      </w:r>
    </w:p>
    <w:p w:rsidR="0023359E" w:rsidRDefault="0023359E" w:rsidP="003D004D">
      <w:pPr>
        <w:pStyle w:val="Normal0"/>
        <w:ind w:firstLine="720"/>
        <w:jc w:val="both"/>
      </w:pPr>
    </w:p>
    <w:p w:rsidR="00205CA8" w:rsidRDefault="00205CA8" w:rsidP="0003363D">
      <w:pPr>
        <w:pStyle w:val="Normal0"/>
        <w:ind w:firstLine="720"/>
        <w:jc w:val="both"/>
      </w:pPr>
      <w:r>
        <w:rPr>
          <w:rStyle w:val="ssrfcpassagedeactivated"/>
        </w:rPr>
        <w:t xml:space="preserve">The Louisiana Direct Action Statute permits an action against an insurer of a tortfeasor if the plaintiff can establish that (1) the accident or injury occurred in Louisiana, (2) the policy was </w:t>
      </w:r>
      <w:r>
        <w:rPr>
          <w:rStyle w:val="ssrfcpassagedeactivated"/>
        </w:rPr>
        <w:lastRenderedPageBreak/>
        <w:t>written in Louisiana, or (3) the policy was delivered in Louisiana.</w:t>
      </w:r>
      <w:r>
        <w:rPr>
          <w:rStyle w:val="FootnoteReference"/>
        </w:rPr>
        <w:footnoteReference w:id="41"/>
      </w:r>
      <w:r>
        <w:rPr>
          <w:rStyle w:val="ssrfcpassagedeactivated"/>
        </w:rPr>
        <w:t xml:space="preserve"> It was undisputed that the accident giving rise to the Jones Act and unseaworthiness claims occurred on the OCS, not in Louisiana. Thus, the court granted the insurer summary judgment with respect to those claims.</w:t>
      </w:r>
      <w:r>
        <w:rPr>
          <w:rStyle w:val="FootnoteReference"/>
        </w:rPr>
        <w:footnoteReference w:id="42"/>
      </w:r>
      <w:r>
        <w:rPr>
          <w:rStyle w:val="ssrfcpassagedeactivated"/>
        </w:rPr>
        <w:t xml:space="preserve"> However, the court denied the insurer’s request for summary judgment as to the maintenance and cure claims, holding that genuine issues of material fact remained as to whether the failure to pay maintenance and cure resulted in an injury </w:t>
      </w:r>
      <w:r>
        <w:t>that “occurred in Louisiana.”</w:t>
      </w:r>
      <w:r>
        <w:rPr>
          <w:rStyle w:val="FootnoteReference"/>
        </w:rPr>
        <w:footnoteReference w:id="43"/>
      </w:r>
      <w:r>
        <w:t xml:space="preserve"> </w:t>
      </w:r>
    </w:p>
    <w:p w:rsidR="006A0CDC" w:rsidRDefault="006A0CDC" w:rsidP="0003363D">
      <w:pPr>
        <w:spacing w:after="0" w:line="240" w:lineRule="auto"/>
        <w:rPr>
          <w:rFonts w:ascii="Times New Roman" w:hAnsi="Times New Roman" w:cs="Times New Roman"/>
          <w:sz w:val="24"/>
          <w:szCs w:val="24"/>
        </w:rPr>
      </w:pPr>
    </w:p>
    <w:p w:rsidR="00472EE4" w:rsidRDefault="00472EE4" w:rsidP="0003363D">
      <w:pPr>
        <w:pStyle w:val="NormalWeb"/>
        <w:spacing w:before="0" w:beforeAutospacing="0" w:after="0" w:afterAutospacing="0"/>
        <w:rPr>
          <w:b/>
        </w:rPr>
      </w:pPr>
      <w:r w:rsidRPr="002A04F7">
        <w:rPr>
          <w:b/>
        </w:rPr>
        <w:t xml:space="preserve">Borrowed Servant Doctrine and </w:t>
      </w:r>
      <w:r w:rsidR="008848E2">
        <w:rPr>
          <w:b/>
        </w:rPr>
        <w:t>the maintenance and cure obligation</w:t>
      </w:r>
      <w:r w:rsidRPr="002A04F7">
        <w:rPr>
          <w:b/>
        </w:rPr>
        <w:t xml:space="preserve"> - </w:t>
      </w:r>
      <w:r w:rsidRPr="00F94F1E">
        <w:rPr>
          <w:b/>
          <w:i/>
        </w:rPr>
        <w:t>In re Weeks Marine, Inc.</w:t>
      </w:r>
      <w:r w:rsidRPr="002A04F7">
        <w:rPr>
          <w:b/>
        </w:rPr>
        <w:t>, 20</w:t>
      </w:r>
      <w:r w:rsidR="008848E2">
        <w:rPr>
          <w:b/>
        </w:rPr>
        <w:t xml:space="preserve">15 U.S. Dist. LEXIS 8489 </w:t>
      </w:r>
      <w:r w:rsidRPr="002A04F7">
        <w:rPr>
          <w:b/>
        </w:rPr>
        <w:t>2015 AMC 507 (M.D. La. 2015)</w:t>
      </w:r>
    </w:p>
    <w:p w:rsidR="003D004D" w:rsidRPr="002A04F7" w:rsidRDefault="003D004D" w:rsidP="0003363D">
      <w:pPr>
        <w:pStyle w:val="NormalWeb"/>
        <w:spacing w:before="0" w:beforeAutospacing="0" w:after="0" w:afterAutospacing="0"/>
        <w:rPr>
          <w:b/>
        </w:rPr>
      </w:pPr>
    </w:p>
    <w:p w:rsidR="003D004D" w:rsidRDefault="008848E2" w:rsidP="0003363D">
      <w:pPr>
        <w:pStyle w:val="NormalWeb"/>
        <w:spacing w:before="0" w:beforeAutospacing="0" w:after="0" w:afterAutospacing="0"/>
        <w:jc w:val="both"/>
      </w:pPr>
      <w:r>
        <w:tab/>
      </w:r>
      <w:r w:rsidR="00B05002">
        <w:t>Who is the seaman’s employer for</w:t>
      </w:r>
      <w:r w:rsidR="00CC70EB">
        <w:t xml:space="preserve"> the purposes of the </w:t>
      </w:r>
      <w:r w:rsidR="00B05002">
        <w:t>maintenance and cure obligation</w:t>
      </w:r>
      <w:r w:rsidR="00CC70EB">
        <w:t>—a staffi</w:t>
      </w:r>
      <w:r w:rsidR="00B05002">
        <w:t>ng agency or the vessel owner</w:t>
      </w:r>
      <w:r w:rsidR="00CC70EB">
        <w:t xml:space="preserve">? </w:t>
      </w:r>
      <w:r w:rsidR="00DD79AB">
        <w:t xml:space="preserve">In </w:t>
      </w:r>
      <w:r w:rsidR="00DD79AB">
        <w:rPr>
          <w:i/>
        </w:rPr>
        <w:t xml:space="preserve">In re Weeks </w:t>
      </w:r>
      <w:r w:rsidR="00CC70EB">
        <w:rPr>
          <w:i/>
        </w:rPr>
        <w:t>Marine</w:t>
      </w:r>
      <w:r w:rsidR="00CC70EB">
        <w:t>, a staffing agency, Aerotek, Inc. brought a Motion for Summary Judgment</w:t>
      </w:r>
      <w:r w:rsidR="00E8111F">
        <w:t>, seeking a determination that the plaintiff-seaman was a “borrowed servant” of Weeks</w:t>
      </w:r>
      <w:r w:rsidR="005A48F2">
        <w:t xml:space="preserve"> Marine, and, therefore, that Aerotek</w:t>
      </w:r>
      <w:r w:rsidR="00E8111F">
        <w:t xml:space="preserve"> was entitled to terminate maintenance and cure benefits.</w:t>
      </w:r>
      <w:r w:rsidR="00E8111F">
        <w:rPr>
          <w:rStyle w:val="FootnoteReference"/>
        </w:rPr>
        <w:footnoteReference w:id="44"/>
      </w:r>
      <w:r w:rsidR="00E8111F">
        <w:t xml:space="preserve"> </w:t>
      </w:r>
    </w:p>
    <w:p w:rsidR="003D004D" w:rsidRDefault="003D004D" w:rsidP="0003363D">
      <w:pPr>
        <w:pStyle w:val="NormalWeb"/>
        <w:spacing w:before="0" w:beforeAutospacing="0" w:after="0" w:afterAutospacing="0"/>
        <w:jc w:val="both"/>
      </w:pPr>
    </w:p>
    <w:p w:rsidR="005A48F2" w:rsidRDefault="008206E1" w:rsidP="0003363D">
      <w:pPr>
        <w:pStyle w:val="NormalWeb"/>
        <w:spacing w:before="0" w:beforeAutospacing="0" w:after="0" w:afterAutospacing="0"/>
        <w:ind w:firstLine="720"/>
        <w:jc w:val="both"/>
      </w:pPr>
      <w:r>
        <w:t>Weeks</w:t>
      </w:r>
      <w:r w:rsidR="005A48F2">
        <w:t xml:space="preserve"> had</w:t>
      </w:r>
      <w:r>
        <w:t xml:space="preserve"> entered into a contract with Aerotek, a staffing service agency, in which Aerotek would provide supplemental staffing of workers for Weeks.</w:t>
      </w:r>
      <w:r>
        <w:rPr>
          <w:rStyle w:val="FootnoteReference"/>
        </w:rPr>
        <w:footnoteReference w:id="45"/>
      </w:r>
      <w:r w:rsidR="00203E9D">
        <w:t xml:space="preserve"> The plaintiff signed an </w:t>
      </w:r>
      <w:r>
        <w:t>Employment Agreement with Aerotek in which he agreed to be assigned to wor</w:t>
      </w:r>
      <w:r w:rsidR="00203E9D">
        <w:t>k as a crane operator for Weeks.</w:t>
      </w:r>
      <w:r w:rsidR="00203E9D">
        <w:rPr>
          <w:rStyle w:val="FootnoteReference"/>
        </w:rPr>
        <w:footnoteReference w:id="46"/>
      </w:r>
      <w:r w:rsidR="00203E9D">
        <w:t xml:space="preserve"> </w:t>
      </w:r>
      <w:r w:rsidR="005A48F2">
        <w:t>He was subsequently injured onboard Weeks’ vessel and Aerotek initially paid him benefits.</w:t>
      </w:r>
      <w:r w:rsidR="00C573CC">
        <w:rPr>
          <w:rStyle w:val="FootnoteReference"/>
        </w:rPr>
        <w:footnoteReference w:id="47"/>
      </w:r>
    </w:p>
    <w:p w:rsidR="0003363D" w:rsidRDefault="0003363D" w:rsidP="0003363D">
      <w:pPr>
        <w:pStyle w:val="NormalWeb"/>
        <w:spacing w:before="0" w:beforeAutospacing="0" w:after="0" w:afterAutospacing="0"/>
        <w:ind w:firstLine="720"/>
        <w:jc w:val="both"/>
      </w:pPr>
    </w:p>
    <w:p w:rsidR="00921EC5" w:rsidRDefault="005A48F2" w:rsidP="0003363D">
      <w:pPr>
        <w:pStyle w:val="NormalWeb"/>
        <w:spacing w:before="0" w:beforeAutospacing="0" w:after="0" w:afterAutospacing="0"/>
        <w:ind w:firstLine="720"/>
        <w:jc w:val="both"/>
      </w:pPr>
      <w:r>
        <w:t xml:space="preserve">The district court applied the nine factor “borrowed servant” test set forth by the U.S. Fifth Circuit Court of Appeals in </w:t>
      </w:r>
      <w:r w:rsidRPr="005A48F2">
        <w:rPr>
          <w:rStyle w:val="ssrfcpassagedeactivated"/>
          <w:i/>
        </w:rPr>
        <w:t xml:space="preserve">In </w:t>
      </w:r>
      <w:r w:rsidRPr="005A48F2">
        <w:rPr>
          <w:rStyle w:val="ssit"/>
          <w:i/>
        </w:rPr>
        <w:t>Ruiz v. Shell Oil Co</w:t>
      </w:r>
      <w:r w:rsidRPr="005A48F2">
        <w:rPr>
          <w:rStyle w:val="ssrfcpassagedeactivated"/>
          <w:i/>
        </w:rPr>
        <w:t>.</w:t>
      </w:r>
      <w:r>
        <w:rPr>
          <w:rStyle w:val="ssrfcpassagedeactivated"/>
        </w:rPr>
        <w:t>, 413 F.2d 310 (5th Cir. 1969)</w:t>
      </w:r>
      <w:r>
        <w:t xml:space="preserve">, finding that </w:t>
      </w:r>
      <w:r w:rsidR="001C28B5">
        <w:t>the plaintiff was a borrowed servant of Weeks.</w:t>
      </w:r>
      <w:r w:rsidR="001C28B5">
        <w:rPr>
          <w:rStyle w:val="FootnoteReference"/>
        </w:rPr>
        <w:footnoteReference w:id="48"/>
      </w:r>
      <w:r w:rsidR="001C28B5">
        <w:t xml:space="preserve"> Accordingly, Aerotek’s maintenance and cure obligation was terminated, and Weeks was ordered to pay maintenance and cure going forward.</w:t>
      </w:r>
      <w:r w:rsidR="001C28B5">
        <w:rPr>
          <w:rStyle w:val="FootnoteReference"/>
        </w:rPr>
        <w:footnoteReference w:id="49"/>
      </w:r>
      <w:r w:rsidR="001C28B5">
        <w:t xml:space="preserve"> </w:t>
      </w:r>
    </w:p>
    <w:p w:rsidR="0003363D" w:rsidRDefault="0003363D" w:rsidP="0003363D">
      <w:pPr>
        <w:pStyle w:val="NormalWeb"/>
        <w:spacing w:before="0" w:beforeAutospacing="0" w:after="0" w:afterAutospacing="0"/>
        <w:ind w:firstLine="720"/>
        <w:jc w:val="both"/>
      </w:pPr>
    </w:p>
    <w:p w:rsidR="00512FA5" w:rsidRDefault="00B31828" w:rsidP="0003363D">
      <w:pPr>
        <w:pStyle w:val="Normal0"/>
        <w:rPr>
          <w:b/>
        </w:rPr>
      </w:pPr>
      <w:r w:rsidRPr="008B36B6">
        <w:rPr>
          <w:b/>
        </w:rPr>
        <w:t>When is Maximum Medical Improvement</w:t>
      </w:r>
      <w:r w:rsidR="008B36B6">
        <w:rPr>
          <w:b/>
        </w:rPr>
        <w:t xml:space="preserve"> reached? — </w:t>
      </w:r>
      <w:r w:rsidRPr="008B36B6">
        <w:rPr>
          <w:b/>
          <w:i/>
        </w:rPr>
        <w:t>Hedges v. Foss Mar. Co.</w:t>
      </w:r>
      <w:r w:rsidRPr="008B36B6">
        <w:rPr>
          <w:b/>
        </w:rPr>
        <w:t>, 2015 U.S. Dist. LEXIS 10510 (W.D. Wash. Jan. 29, 2015)</w:t>
      </w:r>
    </w:p>
    <w:p w:rsidR="00454BE3" w:rsidRPr="008B36B6" w:rsidRDefault="00454BE3" w:rsidP="0003363D">
      <w:pPr>
        <w:pStyle w:val="Normal0"/>
        <w:rPr>
          <w:b/>
        </w:rPr>
      </w:pPr>
    </w:p>
    <w:p w:rsidR="009B5D15" w:rsidRDefault="00661327" w:rsidP="0003363D">
      <w:pPr>
        <w:pStyle w:val="Normal0"/>
        <w:jc w:val="both"/>
      </w:pPr>
      <w:r>
        <w:tab/>
        <w:t xml:space="preserve">In </w:t>
      </w:r>
      <w:r>
        <w:rPr>
          <w:i/>
        </w:rPr>
        <w:t>Hedges v. Foss Mar. Co.</w:t>
      </w:r>
      <w:r>
        <w:t>, the plaintiff had undergone</w:t>
      </w:r>
      <w:r w:rsidR="002A3FE7">
        <w:t xml:space="preserve"> five surgeries for his lower back since his accident and continued to suffer from ongoing lower back pain and disability.</w:t>
      </w:r>
      <w:r w:rsidR="00D6373E">
        <w:rPr>
          <w:rStyle w:val="FootnoteReference"/>
        </w:rPr>
        <w:footnoteReference w:id="50"/>
      </w:r>
      <w:r w:rsidR="002A3FE7">
        <w:t xml:space="preserve"> </w:t>
      </w:r>
      <w:r w:rsidR="00CE66AB">
        <w:t>His</w:t>
      </w:r>
      <w:r w:rsidR="00565989">
        <w:t xml:space="preserve"> treating physician recommended that he undergo a surgical implant of a trial, spinal cord </w:t>
      </w:r>
      <w:r w:rsidR="00565989">
        <w:lastRenderedPageBreak/>
        <w:t>stimulator.</w:t>
      </w:r>
      <w:r w:rsidR="00565989">
        <w:rPr>
          <w:rStyle w:val="FootnoteReference"/>
        </w:rPr>
        <w:footnoteReference w:id="51"/>
      </w:r>
      <w:r w:rsidR="00565989">
        <w:t xml:space="preserve"> </w:t>
      </w:r>
      <w:r w:rsidR="009B5D15">
        <w:t xml:space="preserve">The plaintiff </w:t>
      </w:r>
      <w:r w:rsidR="00CE66AB">
        <w:t xml:space="preserve">then </w:t>
      </w:r>
      <w:r w:rsidR="009B5D15">
        <w:t>sought an order compelling the employer to pay for the surgery under the cure obligation.</w:t>
      </w:r>
      <w:r w:rsidR="00C573CC">
        <w:rPr>
          <w:rStyle w:val="FootnoteReference"/>
        </w:rPr>
        <w:footnoteReference w:id="52"/>
      </w:r>
    </w:p>
    <w:p w:rsidR="00512FA5" w:rsidRDefault="00512FA5" w:rsidP="003D004D">
      <w:pPr>
        <w:pStyle w:val="Normal0"/>
        <w:jc w:val="both"/>
      </w:pPr>
    </w:p>
    <w:p w:rsidR="004D199C" w:rsidRDefault="009B5D15" w:rsidP="003D004D">
      <w:pPr>
        <w:pStyle w:val="Normal0"/>
        <w:jc w:val="both"/>
      </w:pPr>
      <w:r>
        <w:tab/>
        <w:t>The court described a spinal cord stimulator as “an implanted, programmable neurotransmitter that interrupts pain signals to the brain by delivering small electrical impulses to the spinal column through stimulation leads.”</w:t>
      </w:r>
      <w:r>
        <w:rPr>
          <w:rStyle w:val="FootnoteReference"/>
        </w:rPr>
        <w:footnoteReference w:id="53"/>
      </w:r>
      <w:r w:rsidR="009D072A">
        <w:t xml:space="preserve"> Plaintiff’s treating physician initially stated that the implant was “non-curative,” but later rescinded his use of the term, claiming that he was unaware of its legal meaning.</w:t>
      </w:r>
      <w:r w:rsidR="009D072A">
        <w:rPr>
          <w:rStyle w:val="FootnoteReference"/>
        </w:rPr>
        <w:footnoteReference w:id="54"/>
      </w:r>
      <w:r w:rsidR="009D072A">
        <w:t xml:space="preserve"> The employer’s medical expert stated that the stimulator was a palliative technique that did not address the cause of the patient's pain.</w:t>
      </w:r>
      <w:r w:rsidR="009D072A">
        <w:rPr>
          <w:rStyle w:val="FootnoteReference"/>
        </w:rPr>
        <w:footnoteReference w:id="55"/>
      </w:r>
      <w:r w:rsidR="009D072A">
        <w:t xml:space="preserve"> </w:t>
      </w:r>
    </w:p>
    <w:p w:rsidR="004D199C" w:rsidRDefault="004D199C" w:rsidP="003D004D">
      <w:pPr>
        <w:pStyle w:val="Normal0"/>
        <w:jc w:val="both"/>
      </w:pPr>
    </w:p>
    <w:p w:rsidR="009D072A" w:rsidRDefault="009D072A" w:rsidP="003D004D">
      <w:pPr>
        <w:pStyle w:val="Normal0"/>
        <w:ind w:firstLine="720"/>
        <w:jc w:val="both"/>
      </w:pPr>
      <w:r>
        <w:t>The court held that “[e]ven if the distinction between curative and palliative treatment is relevant before maximum cure has been reached, cure includes all treatment that improves function. A treatment is curative even if the increased function is accomplished primarily through pain relief.</w:t>
      </w:r>
      <w:r w:rsidR="00943113">
        <w:t>”</w:t>
      </w:r>
      <w:r w:rsidR="00943113">
        <w:rPr>
          <w:rStyle w:val="FootnoteReference"/>
        </w:rPr>
        <w:footnoteReference w:id="56"/>
      </w:r>
      <w:r w:rsidR="00943113">
        <w:t xml:space="preserve"> The employer was therefore ordered to pay for the stimulator implant under the cure obligation.</w:t>
      </w:r>
      <w:r w:rsidR="00C573CC">
        <w:rPr>
          <w:rStyle w:val="FootnoteReference"/>
        </w:rPr>
        <w:footnoteReference w:id="57"/>
      </w:r>
    </w:p>
    <w:p w:rsidR="00943113" w:rsidRDefault="00943113" w:rsidP="003D004D">
      <w:pPr>
        <w:pStyle w:val="Normal0"/>
        <w:jc w:val="both"/>
      </w:pPr>
    </w:p>
    <w:p w:rsidR="001A699C" w:rsidRDefault="004D199C" w:rsidP="003D004D">
      <w:pPr>
        <w:pStyle w:val="Normal0"/>
        <w:jc w:val="both"/>
        <w:rPr>
          <w:b/>
          <w:u w:val="single"/>
        </w:rPr>
      </w:pPr>
      <w:r w:rsidRPr="00AD34AE">
        <w:rPr>
          <w:b/>
          <w:u w:val="single"/>
        </w:rPr>
        <w:t xml:space="preserve">Application of the </w:t>
      </w:r>
      <w:r w:rsidRPr="00AD34AE">
        <w:rPr>
          <w:b/>
          <w:i/>
          <w:u w:val="single"/>
        </w:rPr>
        <w:t xml:space="preserve">McCorpen </w:t>
      </w:r>
      <w:r w:rsidRPr="00AD34AE">
        <w:rPr>
          <w:b/>
          <w:u w:val="single"/>
        </w:rPr>
        <w:t xml:space="preserve">defense </w:t>
      </w:r>
    </w:p>
    <w:p w:rsidR="00217F3C" w:rsidRDefault="00217F3C" w:rsidP="003D004D">
      <w:pPr>
        <w:pStyle w:val="Normal0"/>
        <w:jc w:val="both"/>
        <w:rPr>
          <w:b/>
          <w:u w:val="single"/>
        </w:rPr>
      </w:pPr>
    </w:p>
    <w:p w:rsidR="00217F3C" w:rsidRPr="00217F3C" w:rsidRDefault="00217F3C" w:rsidP="003D004D">
      <w:pPr>
        <w:pStyle w:val="Normal0"/>
        <w:ind w:firstLine="720"/>
        <w:jc w:val="both"/>
      </w:pPr>
      <w:r w:rsidRPr="00217F3C">
        <w:t xml:space="preserve">In </w:t>
      </w:r>
      <w:r w:rsidRPr="00FD219D">
        <w:rPr>
          <w:i/>
        </w:rPr>
        <w:t>McCorpen v. Central Gulf Steamship Corp.</w:t>
      </w:r>
      <w:r w:rsidRPr="00217F3C">
        <w:t>,</w:t>
      </w:r>
      <w:r>
        <w:t xml:space="preserve"> the U.S. Fifth Circuit Court of Appeals </w:t>
      </w:r>
      <w:r w:rsidRPr="00217F3C">
        <w:t>held that a seaman who </w:t>
      </w:r>
      <w:r>
        <w:t>“knowingly fails</w:t>
      </w:r>
      <w:r w:rsidRPr="00217F3C">
        <w:t xml:space="preserve"> to disclose a pre-existing </w:t>
      </w:r>
      <w:r>
        <w:t>physical disability during his or her</w:t>
      </w:r>
      <w:r w:rsidRPr="00217F3C">
        <w:t xml:space="preserve"> pre-employment physical examination" may not recover maintenance and cure.</w:t>
      </w:r>
      <w:r w:rsidR="009818AD">
        <w:t>”</w:t>
      </w:r>
      <w:r w:rsidR="009818AD">
        <w:rPr>
          <w:rStyle w:val="FootnoteReference"/>
        </w:rPr>
        <w:footnoteReference w:id="58"/>
      </w:r>
      <w:r w:rsidRPr="00217F3C">
        <w:t xml:space="preserve"> In order to establish a </w:t>
      </w:r>
      <w:r w:rsidRPr="009818AD">
        <w:rPr>
          <w:i/>
        </w:rPr>
        <w:t>McCorpen</w:t>
      </w:r>
      <w:r w:rsidRPr="00217F3C">
        <w:t xml:space="preserve"> defens</w:t>
      </w:r>
      <w:r w:rsidR="009818AD">
        <w:t>e, an employer must show </w:t>
      </w:r>
      <w:r w:rsidRPr="00217F3C">
        <w:t>that (1) the claimant intentionally misrepresented or concealed medical facts; (2) the non-disclosed facts were material to the employer's decision to hire the claimant; and (3) a connection exists between the withheld information and the injury complained of in the lawsuit</w:t>
      </w:r>
      <w:r w:rsidR="009818AD">
        <w:t>.</w:t>
      </w:r>
      <w:r w:rsidR="009818AD">
        <w:rPr>
          <w:rStyle w:val="FootnoteReference"/>
        </w:rPr>
        <w:footnoteReference w:id="59"/>
      </w:r>
    </w:p>
    <w:p w:rsidR="00AD34AE" w:rsidRPr="00167948" w:rsidRDefault="00AD34AE" w:rsidP="003D004D">
      <w:pPr>
        <w:pStyle w:val="Normal0"/>
        <w:jc w:val="both"/>
      </w:pPr>
    </w:p>
    <w:p w:rsidR="00AD34AE" w:rsidRPr="00853705" w:rsidRDefault="00126B63" w:rsidP="003D004D">
      <w:pPr>
        <w:pStyle w:val="Normal0"/>
        <w:tabs>
          <w:tab w:val="left" w:pos="6367"/>
        </w:tabs>
        <w:jc w:val="both"/>
        <w:rPr>
          <w:rFonts w:ascii="Times" w:hAnsi="Times"/>
          <w:b/>
        </w:rPr>
      </w:pPr>
      <w:r w:rsidRPr="00853705">
        <w:rPr>
          <w:rFonts w:ascii="Times" w:hAnsi="Times"/>
          <w:b/>
          <w:i/>
        </w:rPr>
        <w:t>Meche v. Doucet</w:t>
      </w:r>
      <w:r w:rsidRPr="00853705">
        <w:rPr>
          <w:rFonts w:ascii="Times" w:hAnsi="Times"/>
          <w:b/>
        </w:rPr>
        <w:t>, 777 F.3d 237 (5th Cir.</w:t>
      </w:r>
      <w:r w:rsidR="00AD34AE" w:rsidRPr="00853705">
        <w:rPr>
          <w:rFonts w:ascii="Times" w:hAnsi="Times"/>
          <w:b/>
        </w:rPr>
        <w:t xml:space="preserve"> 2015)</w:t>
      </w:r>
      <w:r w:rsidRPr="00853705">
        <w:rPr>
          <w:rFonts w:ascii="Times" w:hAnsi="Times"/>
          <w:b/>
        </w:rPr>
        <w:tab/>
      </w:r>
    </w:p>
    <w:p w:rsidR="00AD34AE" w:rsidRDefault="00AD34AE" w:rsidP="003D004D">
      <w:pPr>
        <w:pStyle w:val="Normal0"/>
        <w:jc w:val="both"/>
      </w:pPr>
    </w:p>
    <w:p w:rsidR="00783685" w:rsidRDefault="004C4F89" w:rsidP="003D004D">
      <w:pPr>
        <w:spacing w:after="0" w:line="240" w:lineRule="auto"/>
        <w:ind w:firstLine="720"/>
        <w:jc w:val="both"/>
        <w:rPr>
          <w:rFonts w:ascii="Times" w:eastAsia="Times New Roman" w:hAnsi="Times" w:cs="Times New Roman"/>
          <w:sz w:val="24"/>
          <w:szCs w:val="24"/>
        </w:rPr>
      </w:pPr>
      <w:r>
        <w:rPr>
          <w:rFonts w:ascii="Times" w:eastAsia="Times New Roman" w:hAnsi="Times" w:cs="Times New Roman"/>
          <w:sz w:val="24"/>
          <w:szCs w:val="24"/>
        </w:rPr>
        <w:t xml:space="preserve">In </w:t>
      </w:r>
      <w:r>
        <w:rPr>
          <w:rFonts w:ascii="Times" w:eastAsia="Times New Roman" w:hAnsi="Times" w:cs="Times New Roman"/>
          <w:i/>
          <w:sz w:val="24"/>
          <w:szCs w:val="24"/>
        </w:rPr>
        <w:t>Meche v. Doucet</w:t>
      </w:r>
      <w:r>
        <w:rPr>
          <w:rFonts w:ascii="Times" w:eastAsia="Times New Roman" w:hAnsi="Times" w:cs="Times New Roman"/>
          <w:sz w:val="24"/>
          <w:szCs w:val="24"/>
        </w:rPr>
        <w:t>, the U.S. Fifth Circuit Court of Appeals reversed</w:t>
      </w:r>
      <w:r w:rsidR="00954AFC">
        <w:rPr>
          <w:rFonts w:ascii="Times" w:eastAsia="Times New Roman" w:hAnsi="Times" w:cs="Times New Roman"/>
          <w:sz w:val="24"/>
          <w:szCs w:val="24"/>
        </w:rPr>
        <w:t xml:space="preserve"> the district court’s denial of the </w:t>
      </w:r>
      <w:r w:rsidR="00954AFC">
        <w:rPr>
          <w:rFonts w:ascii="Times" w:eastAsia="Times New Roman" w:hAnsi="Times" w:cs="Times New Roman"/>
          <w:i/>
          <w:sz w:val="24"/>
          <w:szCs w:val="24"/>
        </w:rPr>
        <w:t xml:space="preserve">McCorpen </w:t>
      </w:r>
      <w:r w:rsidR="00954AFC">
        <w:rPr>
          <w:rFonts w:ascii="Times" w:eastAsia="Times New Roman" w:hAnsi="Times" w:cs="Times New Roman"/>
          <w:sz w:val="24"/>
          <w:szCs w:val="24"/>
        </w:rPr>
        <w:t>defense and vacated the award of punitive damages for failure to pay maintenance and cure</w:t>
      </w:r>
      <w:r w:rsidR="00972F2F">
        <w:rPr>
          <w:rFonts w:ascii="Times" w:eastAsia="Times New Roman" w:hAnsi="Times" w:cs="Times New Roman"/>
          <w:sz w:val="24"/>
          <w:szCs w:val="24"/>
        </w:rPr>
        <w:t>.</w:t>
      </w:r>
      <w:r w:rsidR="00751520">
        <w:rPr>
          <w:rStyle w:val="FootnoteReference"/>
          <w:rFonts w:ascii="Times" w:eastAsia="Times New Roman" w:hAnsi="Times" w:cs="Times New Roman"/>
          <w:sz w:val="24"/>
          <w:szCs w:val="24"/>
        </w:rPr>
        <w:footnoteReference w:id="60"/>
      </w:r>
      <w:r w:rsidR="00972F2F">
        <w:rPr>
          <w:rFonts w:ascii="Times" w:eastAsia="Times New Roman" w:hAnsi="Times" w:cs="Times New Roman"/>
          <w:sz w:val="24"/>
          <w:szCs w:val="24"/>
        </w:rPr>
        <w:t xml:space="preserve"> The plaintiff had aggravated a pre-existing condition in his lumbar spine while in the service of the vessel</w:t>
      </w:r>
      <w:r w:rsidR="007D2FC3">
        <w:rPr>
          <w:rFonts w:ascii="Times" w:eastAsia="Times New Roman" w:hAnsi="Times" w:cs="Times New Roman"/>
          <w:sz w:val="24"/>
          <w:szCs w:val="24"/>
        </w:rPr>
        <w:t>, but had concealed the condition during the pre-employment process</w:t>
      </w:r>
      <w:r w:rsidR="00972F2F">
        <w:rPr>
          <w:rFonts w:ascii="Times" w:eastAsia="Times New Roman" w:hAnsi="Times" w:cs="Times New Roman"/>
          <w:sz w:val="24"/>
          <w:szCs w:val="24"/>
        </w:rPr>
        <w:t>.</w:t>
      </w:r>
      <w:r w:rsidR="00972F2F">
        <w:rPr>
          <w:rStyle w:val="FootnoteReference"/>
          <w:rFonts w:ascii="Times" w:eastAsia="Times New Roman" w:hAnsi="Times" w:cs="Times New Roman"/>
          <w:sz w:val="24"/>
          <w:szCs w:val="24"/>
        </w:rPr>
        <w:footnoteReference w:id="61"/>
      </w:r>
      <w:r w:rsidR="007D2FC3">
        <w:rPr>
          <w:rFonts w:ascii="Times" w:eastAsia="Times New Roman" w:hAnsi="Times" w:cs="Times New Roman"/>
          <w:sz w:val="24"/>
          <w:szCs w:val="24"/>
        </w:rPr>
        <w:t xml:space="preserve"> Although the plaintiff’s current employer </w:t>
      </w:r>
      <w:r w:rsidR="00A94FF9">
        <w:rPr>
          <w:rFonts w:ascii="Times" w:eastAsia="Times New Roman" w:hAnsi="Times" w:cs="Times New Roman"/>
          <w:sz w:val="24"/>
          <w:szCs w:val="24"/>
        </w:rPr>
        <w:t xml:space="preserve">(Key) </w:t>
      </w:r>
      <w:r w:rsidR="007D2FC3">
        <w:rPr>
          <w:rFonts w:ascii="Times" w:eastAsia="Times New Roman" w:hAnsi="Times" w:cs="Times New Roman"/>
          <w:sz w:val="24"/>
          <w:szCs w:val="24"/>
        </w:rPr>
        <w:t>did not subject him to a pre-employmen</w:t>
      </w:r>
      <w:r w:rsidR="00A94FF9">
        <w:rPr>
          <w:rFonts w:ascii="Times" w:eastAsia="Times New Roman" w:hAnsi="Times" w:cs="Times New Roman"/>
          <w:sz w:val="24"/>
          <w:szCs w:val="24"/>
        </w:rPr>
        <w:t xml:space="preserve">t examination or interview, Key’s </w:t>
      </w:r>
      <w:r w:rsidR="007D2FC3">
        <w:rPr>
          <w:rFonts w:ascii="Times" w:eastAsia="Times New Roman" w:hAnsi="Times" w:cs="Times New Roman"/>
          <w:sz w:val="24"/>
          <w:szCs w:val="24"/>
        </w:rPr>
        <w:t xml:space="preserve">predecessor did, and </w:t>
      </w:r>
      <w:r w:rsidR="00A94FF9">
        <w:rPr>
          <w:rFonts w:ascii="Times" w:eastAsia="Times New Roman" w:hAnsi="Times" w:cs="Times New Roman"/>
          <w:sz w:val="24"/>
          <w:szCs w:val="24"/>
        </w:rPr>
        <w:t xml:space="preserve">Key was thereafter entitled to </w:t>
      </w:r>
      <w:r w:rsidR="00A94FF9">
        <w:rPr>
          <w:rFonts w:ascii="Times" w:eastAsia="Times New Roman" w:hAnsi="Times" w:cs="Times New Roman"/>
          <w:sz w:val="24"/>
          <w:szCs w:val="24"/>
        </w:rPr>
        <w:lastRenderedPageBreak/>
        <w:t>rely on the plaintiff’s representations</w:t>
      </w:r>
      <w:r w:rsidR="007D2FC3">
        <w:rPr>
          <w:rFonts w:ascii="Times" w:eastAsia="Times New Roman" w:hAnsi="Times" w:cs="Times New Roman"/>
          <w:sz w:val="24"/>
          <w:szCs w:val="24"/>
        </w:rPr>
        <w:t>.</w:t>
      </w:r>
      <w:r w:rsidR="007D2FC3">
        <w:rPr>
          <w:rStyle w:val="FootnoteReference"/>
          <w:rFonts w:ascii="Times" w:eastAsia="Times New Roman" w:hAnsi="Times" w:cs="Times New Roman"/>
          <w:sz w:val="24"/>
          <w:szCs w:val="24"/>
        </w:rPr>
        <w:footnoteReference w:id="62"/>
      </w:r>
      <w:r w:rsidR="007D2FC3">
        <w:rPr>
          <w:rFonts w:ascii="Times" w:eastAsia="Times New Roman" w:hAnsi="Times" w:cs="Times New Roman"/>
          <w:sz w:val="24"/>
          <w:szCs w:val="24"/>
        </w:rPr>
        <w:t xml:space="preserve"> Therefore, the</w:t>
      </w:r>
      <w:r w:rsidR="00A94FF9">
        <w:rPr>
          <w:rFonts w:ascii="Times" w:eastAsia="Times New Roman" w:hAnsi="Times" w:cs="Times New Roman"/>
          <w:sz w:val="24"/>
          <w:szCs w:val="24"/>
        </w:rPr>
        <w:t xml:space="preserve"> objective,</w:t>
      </w:r>
      <w:r w:rsidR="007D2FC3">
        <w:rPr>
          <w:rFonts w:ascii="Times" w:eastAsia="Times New Roman" w:hAnsi="Times" w:cs="Times New Roman"/>
          <w:sz w:val="24"/>
          <w:szCs w:val="24"/>
        </w:rPr>
        <w:t xml:space="preserve"> “intentional</w:t>
      </w:r>
      <w:r w:rsidR="00A94FF9">
        <w:rPr>
          <w:rFonts w:ascii="Times" w:eastAsia="Times New Roman" w:hAnsi="Times" w:cs="Times New Roman"/>
          <w:sz w:val="24"/>
          <w:szCs w:val="24"/>
        </w:rPr>
        <w:t xml:space="preserve"> concealment standard” applied to the </w:t>
      </w:r>
      <w:r w:rsidR="00A94FF9">
        <w:rPr>
          <w:rFonts w:ascii="Times" w:eastAsia="Times New Roman" w:hAnsi="Times" w:cs="Times New Roman"/>
          <w:i/>
          <w:sz w:val="24"/>
          <w:szCs w:val="24"/>
        </w:rPr>
        <w:t>McCorpen</w:t>
      </w:r>
      <w:r w:rsidR="00A94FF9">
        <w:rPr>
          <w:rFonts w:ascii="Times" w:eastAsia="Times New Roman" w:hAnsi="Times" w:cs="Times New Roman"/>
          <w:sz w:val="24"/>
          <w:szCs w:val="24"/>
        </w:rPr>
        <w:t xml:space="preserve"> analysis.</w:t>
      </w:r>
      <w:r w:rsidR="00A94FF9">
        <w:rPr>
          <w:rStyle w:val="FootnoteReference"/>
          <w:rFonts w:ascii="Times" w:eastAsia="Times New Roman" w:hAnsi="Times" w:cs="Times New Roman"/>
          <w:sz w:val="24"/>
          <w:szCs w:val="24"/>
        </w:rPr>
        <w:footnoteReference w:id="63"/>
      </w:r>
      <w:r w:rsidR="00A94FF9">
        <w:rPr>
          <w:rFonts w:ascii="Times" w:eastAsia="Times New Roman" w:hAnsi="Times" w:cs="Times New Roman"/>
          <w:sz w:val="24"/>
          <w:szCs w:val="24"/>
        </w:rPr>
        <w:t xml:space="preserve"> </w:t>
      </w:r>
    </w:p>
    <w:p w:rsidR="00783685" w:rsidRPr="00783685" w:rsidRDefault="00783685" w:rsidP="003D004D">
      <w:pPr>
        <w:spacing w:after="0" w:line="240" w:lineRule="auto"/>
        <w:jc w:val="both"/>
        <w:rPr>
          <w:rFonts w:ascii="Times New Roman" w:eastAsia="Times New Roman" w:hAnsi="Times New Roman" w:cs="Times New Roman"/>
          <w:sz w:val="24"/>
          <w:szCs w:val="24"/>
        </w:rPr>
      </w:pPr>
    </w:p>
    <w:p w:rsidR="00AD34AE" w:rsidRPr="00D53E2A" w:rsidRDefault="00E112AD" w:rsidP="009C7122">
      <w:pPr>
        <w:spacing w:after="0" w:line="240" w:lineRule="auto"/>
        <w:ind w:firstLine="720"/>
        <w:jc w:val="both"/>
        <w:rPr>
          <w:rFonts w:ascii="Times" w:eastAsia="Times New Roman" w:hAnsi="Times" w:cs="Times New Roman"/>
          <w:sz w:val="20"/>
          <w:szCs w:val="20"/>
        </w:rPr>
      </w:pPr>
      <w:r w:rsidRPr="00783685">
        <w:rPr>
          <w:rFonts w:ascii="Times New Roman" w:eastAsia="Times New Roman" w:hAnsi="Times New Roman" w:cs="Times New Roman"/>
          <w:sz w:val="24"/>
          <w:szCs w:val="24"/>
        </w:rPr>
        <w:t>The U.S. Fifth Circuit rejected the plaintiff’s argument that he did not conceal his medical history because he did not personally com</w:t>
      </w:r>
      <w:r w:rsidR="00783685" w:rsidRPr="00783685">
        <w:rPr>
          <w:rFonts w:ascii="Times New Roman" w:eastAsia="Times New Roman" w:hAnsi="Times New Roman" w:cs="Times New Roman"/>
          <w:sz w:val="24"/>
          <w:szCs w:val="24"/>
        </w:rPr>
        <w:t>plete the medical questionnaire</w:t>
      </w:r>
      <w:r w:rsidRPr="00783685">
        <w:rPr>
          <w:rFonts w:ascii="Times New Roman" w:eastAsia="Times New Roman" w:hAnsi="Times New Roman" w:cs="Times New Roman"/>
          <w:sz w:val="24"/>
          <w:szCs w:val="24"/>
        </w:rPr>
        <w:t>.</w:t>
      </w:r>
      <w:r w:rsidR="00783685">
        <w:rPr>
          <w:rStyle w:val="FootnoteReference"/>
          <w:rFonts w:ascii="Times New Roman" w:eastAsia="Times New Roman" w:hAnsi="Times New Roman" w:cs="Times New Roman"/>
          <w:sz w:val="24"/>
          <w:szCs w:val="24"/>
        </w:rPr>
        <w:footnoteReference w:id="64"/>
      </w:r>
      <w:r w:rsidR="00783685" w:rsidRPr="00783685">
        <w:rPr>
          <w:rFonts w:ascii="Times New Roman" w:eastAsia="Times New Roman" w:hAnsi="Times New Roman" w:cs="Times New Roman"/>
          <w:sz w:val="24"/>
          <w:szCs w:val="24"/>
        </w:rPr>
        <w:t xml:space="preserve"> </w:t>
      </w:r>
      <w:r w:rsidR="00D53E2A">
        <w:rPr>
          <w:rFonts w:ascii="Times New Roman" w:eastAsia="Times New Roman" w:hAnsi="Times New Roman" w:cs="Times New Roman"/>
          <w:sz w:val="24"/>
          <w:szCs w:val="24"/>
        </w:rPr>
        <w:t>The p</w:t>
      </w:r>
      <w:r w:rsidR="00783685" w:rsidRPr="00783685">
        <w:rPr>
          <w:rFonts w:ascii="Times New Roman" w:eastAsia="Times New Roman" w:hAnsi="Times New Roman" w:cs="Times New Roman"/>
          <w:sz w:val="24"/>
          <w:szCs w:val="24"/>
        </w:rPr>
        <w:t>laintiff claimed that his niece had completed the questionnaire and he had simply signed it without first reading it. He also claimed that he had verbally notified his employe</w:t>
      </w:r>
      <w:r w:rsidR="00D53E2A">
        <w:rPr>
          <w:rFonts w:ascii="Times New Roman" w:eastAsia="Times New Roman" w:hAnsi="Times New Roman" w:cs="Times New Roman"/>
          <w:sz w:val="24"/>
          <w:szCs w:val="24"/>
        </w:rPr>
        <w:t>r of his past injuries after completing the questionnaire.</w:t>
      </w:r>
      <w:r w:rsidR="00783685" w:rsidRPr="00783685">
        <w:rPr>
          <w:rFonts w:ascii="Times New Roman" w:eastAsia="Times New Roman" w:hAnsi="Times New Roman" w:cs="Times New Roman"/>
          <w:sz w:val="24"/>
          <w:szCs w:val="24"/>
        </w:rPr>
        <w:t xml:space="preserve"> The court held that “</w:t>
      </w:r>
      <w:r w:rsidRPr="00783685">
        <w:rPr>
          <w:rFonts w:ascii="Times New Roman" w:eastAsia="Times New Roman" w:hAnsi="Times New Roman" w:cs="Times New Roman"/>
          <w:sz w:val="24"/>
          <w:szCs w:val="24"/>
        </w:rPr>
        <w:t>if a seaman intentionally provides false information on a pre-employment medical questionnaire and certifies that the information therein is true and correct, that seaman may not later argue that his concealment was not intentional based on his statement, which the employer disputes, that he verbally disclosed medical information that contradicted the written questionnaire</w:t>
      </w:r>
      <w:r w:rsidR="00783685" w:rsidRPr="00783685">
        <w:rPr>
          <w:rFonts w:ascii="Times New Roman" w:eastAsia="Times New Roman" w:hAnsi="Times New Roman" w:cs="Times New Roman"/>
          <w:sz w:val="24"/>
          <w:szCs w:val="24"/>
        </w:rPr>
        <w:t>.”</w:t>
      </w:r>
      <w:r w:rsidR="00D53E2A">
        <w:rPr>
          <w:rStyle w:val="FootnoteReference"/>
          <w:rFonts w:ascii="Times New Roman" w:eastAsia="Times New Roman" w:hAnsi="Times New Roman" w:cs="Times New Roman"/>
          <w:sz w:val="24"/>
          <w:szCs w:val="24"/>
        </w:rPr>
        <w:footnoteReference w:id="65"/>
      </w:r>
    </w:p>
    <w:p w:rsidR="00AD34AE" w:rsidRDefault="00AD34AE" w:rsidP="003D004D">
      <w:pPr>
        <w:pStyle w:val="Normal0"/>
        <w:jc w:val="both"/>
      </w:pPr>
    </w:p>
    <w:p w:rsidR="004530E5" w:rsidRPr="00D846E2" w:rsidRDefault="004530E5" w:rsidP="003D004D">
      <w:pPr>
        <w:spacing w:line="240" w:lineRule="auto"/>
        <w:rPr>
          <w:rFonts w:ascii="Times New Roman" w:hAnsi="Times New Roman" w:cs="Times New Roman"/>
          <w:b/>
          <w:sz w:val="24"/>
          <w:szCs w:val="24"/>
        </w:rPr>
      </w:pPr>
      <w:r w:rsidRPr="00D846E2">
        <w:rPr>
          <w:rFonts w:ascii="Times New Roman" w:hAnsi="Times New Roman" w:cs="Times New Roman"/>
          <w:b/>
          <w:i/>
          <w:sz w:val="24"/>
          <w:szCs w:val="24"/>
        </w:rPr>
        <w:t>Bosarge v. Cheramie Marine LLC</w:t>
      </w:r>
      <w:r w:rsidRPr="00D846E2">
        <w:rPr>
          <w:rFonts w:ascii="Times New Roman" w:hAnsi="Times New Roman" w:cs="Times New Roman"/>
          <w:b/>
          <w:sz w:val="24"/>
          <w:szCs w:val="24"/>
        </w:rPr>
        <w:t>, 2015 U.S. Dist. LEXIS 10176</w:t>
      </w:r>
      <w:r w:rsidR="00751520">
        <w:rPr>
          <w:rFonts w:ascii="Times New Roman" w:hAnsi="Times New Roman" w:cs="Times New Roman"/>
          <w:b/>
          <w:sz w:val="24"/>
          <w:szCs w:val="24"/>
        </w:rPr>
        <w:t>8</w:t>
      </w:r>
      <w:r>
        <w:rPr>
          <w:rFonts w:ascii="Times New Roman" w:hAnsi="Times New Roman" w:cs="Times New Roman"/>
          <w:b/>
          <w:sz w:val="24"/>
          <w:szCs w:val="24"/>
        </w:rPr>
        <w:t xml:space="preserve"> </w:t>
      </w:r>
      <w:r w:rsidRPr="00D846E2">
        <w:rPr>
          <w:rFonts w:ascii="Times New Roman" w:hAnsi="Times New Roman" w:cs="Times New Roman"/>
          <w:b/>
          <w:sz w:val="24"/>
          <w:szCs w:val="24"/>
        </w:rPr>
        <w:t>(E.D. La</w:t>
      </w:r>
      <w:r>
        <w:rPr>
          <w:rFonts w:ascii="Times New Roman" w:hAnsi="Times New Roman" w:cs="Times New Roman"/>
          <w:b/>
          <w:sz w:val="24"/>
          <w:szCs w:val="24"/>
        </w:rPr>
        <w:t>.</w:t>
      </w:r>
      <w:r w:rsidRPr="00D846E2">
        <w:rPr>
          <w:rFonts w:ascii="Times New Roman" w:hAnsi="Times New Roman" w:cs="Times New Roman"/>
          <w:b/>
          <w:sz w:val="24"/>
          <w:szCs w:val="24"/>
        </w:rPr>
        <w:t xml:space="preserve"> Aug</w:t>
      </w:r>
      <w:r>
        <w:rPr>
          <w:rFonts w:ascii="Times New Roman" w:hAnsi="Times New Roman" w:cs="Times New Roman"/>
          <w:b/>
          <w:sz w:val="24"/>
          <w:szCs w:val="24"/>
        </w:rPr>
        <w:t>.</w:t>
      </w:r>
      <w:r w:rsidRPr="00D846E2">
        <w:rPr>
          <w:rFonts w:ascii="Times New Roman" w:hAnsi="Times New Roman" w:cs="Times New Roman"/>
          <w:b/>
          <w:sz w:val="24"/>
          <w:szCs w:val="24"/>
        </w:rPr>
        <w:t xml:space="preserve"> 4, 2015)</w:t>
      </w:r>
    </w:p>
    <w:p w:rsidR="00AD34AE" w:rsidRDefault="008819C2" w:rsidP="003D004D">
      <w:pPr>
        <w:pStyle w:val="Normal0"/>
        <w:jc w:val="both"/>
      </w:pPr>
      <w:r>
        <w:tab/>
        <w:t xml:space="preserve">This </w:t>
      </w:r>
      <w:r w:rsidR="007C308F">
        <w:t xml:space="preserve">district court </w:t>
      </w:r>
      <w:r>
        <w:t xml:space="preserve">decision seemingly came to the opposite conclusion of the U.S. Fifth Circuit in </w:t>
      </w:r>
      <w:r>
        <w:rPr>
          <w:i/>
        </w:rPr>
        <w:t>Meche</w:t>
      </w:r>
      <w:r>
        <w:t>. Here, the d</w:t>
      </w:r>
      <w:r w:rsidRPr="002A3FC2">
        <w:t xml:space="preserve">efendant </w:t>
      </w:r>
      <w:r>
        <w:t xml:space="preserve">sought to invoke the </w:t>
      </w:r>
      <w:r w:rsidRPr="008819C2">
        <w:rPr>
          <w:i/>
        </w:rPr>
        <w:t>McCorpen</w:t>
      </w:r>
      <w:r>
        <w:t xml:space="preserve"> defense where the </w:t>
      </w:r>
      <w:r w:rsidR="00990421">
        <w:t>p</w:t>
      </w:r>
      <w:r w:rsidR="00990421" w:rsidRPr="002A3FC2">
        <w:t>laintiff</w:t>
      </w:r>
      <w:r w:rsidRPr="002A3FC2">
        <w:t xml:space="preserve"> suffered a back injury </w:t>
      </w:r>
      <w:r w:rsidR="007C308F">
        <w:t>prior to the incident at issue</w:t>
      </w:r>
      <w:r w:rsidR="006F5DEC">
        <w:t xml:space="preserve"> and</w:t>
      </w:r>
      <w:r w:rsidRPr="002A3FC2">
        <w:t xml:space="preserve"> he did not disclose that injury on the medical questionnaire he was provided prior to his employment with </w:t>
      </w:r>
      <w:r w:rsidR="00990421">
        <w:t>the d</w:t>
      </w:r>
      <w:r w:rsidRPr="002A3FC2">
        <w:t>efendant.</w:t>
      </w:r>
      <w:r w:rsidR="00990421">
        <w:rPr>
          <w:rStyle w:val="FootnoteReference"/>
        </w:rPr>
        <w:footnoteReference w:id="66"/>
      </w:r>
      <w:r w:rsidRPr="002A3FC2">
        <w:t xml:space="preserve"> </w:t>
      </w:r>
      <w:r w:rsidR="007C308F">
        <w:t>Prior to his employment, the plaintiff visited an orthopaedic c</w:t>
      </w:r>
      <w:r w:rsidRPr="002A3FC2">
        <w:t>linic complaining of lower back pain.</w:t>
      </w:r>
      <w:r w:rsidR="00751520" w:rsidRPr="00751520">
        <w:rPr>
          <w:rStyle w:val="FootnoteReference"/>
        </w:rPr>
        <w:t xml:space="preserve"> </w:t>
      </w:r>
      <w:r w:rsidR="00751520">
        <w:rPr>
          <w:rStyle w:val="FootnoteReference"/>
        </w:rPr>
        <w:footnoteReference w:id="67"/>
      </w:r>
      <w:r w:rsidRPr="002A3FC2">
        <w:t xml:space="preserve"> </w:t>
      </w:r>
      <w:r w:rsidR="007C308F">
        <w:t xml:space="preserve">He </w:t>
      </w:r>
      <w:r w:rsidRPr="002A3FC2">
        <w:t>was diagnosed with lumbar degenerative disk disease and given a physical therapy home exe</w:t>
      </w:r>
      <w:r w:rsidR="00712A74">
        <w:t>rcise program and pain medicine, which prescription he thereafter filled twice</w:t>
      </w:r>
      <w:r w:rsidRPr="002A3FC2">
        <w:t>.</w:t>
      </w:r>
      <w:r w:rsidR="007C308F" w:rsidRPr="00B41E22">
        <w:rPr>
          <w:rStyle w:val="FootnoteReference"/>
        </w:rPr>
        <w:footnoteReference w:id="68"/>
      </w:r>
    </w:p>
    <w:p w:rsidR="005D51BC" w:rsidRDefault="005D51BC" w:rsidP="003D004D">
      <w:pPr>
        <w:pStyle w:val="Normal0"/>
        <w:jc w:val="both"/>
      </w:pPr>
    </w:p>
    <w:p w:rsidR="005D51BC" w:rsidRDefault="005D51BC" w:rsidP="003D004D">
      <w:pPr>
        <w:pStyle w:val="Normal0"/>
        <w:jc w:val="both"/>
      </w:pPr>
      <w:r>
        <w:tab/>
        <w:t xml:space="preserve">The district court denied the employer’s Motion for Summary Judgment on the </w:t>
      </w:r>
      <w:r>
        <w:rPr>
          <w:i/>
        </w:rPr>
        <w:t>McCorpen</w:t>
      </w:r>
      <w:r>
        <w:t xml:space="preserve"> defense. It held that </w:t>
      </w:r>
      <w:r w:rsidR="00B4319D">
        <w:t xml:space="preserve">genuine </w:t>
      </w:r>
      <w:r>
        <w:t>issues of facts existed as to whether the concealed</w:t>
      </w:r>
      <w:r w:rsidRPr="0022678F">
        <w:t xml:space="preserve"> information would have affected </w:t>
      </w:r>
      <w:r>
        <w:t>the employer’s decision to hire the p</w:t>
      </w:r>
      <w:r w:rsidRPr="0022678F">
        <w:t>laintiff</w:t>
      </w:r>
      <w:r>
        <w:t>, as</w:t>
      </w:r>
      <w:r w:rsidRPr="0022678F">
        <w:t xml:space="preserve"> his prior injury </w:t>
      </w:r>
      <w:r>
        <w:t>was “extremely minor” and that the “p</w:t>
      </w:r>
      <w:r w:rsidRPr="0022678F">
        <w:t xml:space="preserve">laintiff had subsequently been cleared for full work duty by a </w:t>
      </w:r>
      <w:r w:rsidRPr="005D51BC">
        <w:rPr>
          <w:i/>
        </w:rPr>
        <w:t>prior</w:t>
      </w:r>
      <w:r w:rsidRPr="0022678F">
        <w:t xml:space="preserve"> employer.</w:t>
      </w:r>
      <w:r>
        <w:t>”</w:t>
      </w:r>
      <w:r>
        <w:rPr>
          <w:rStyle w:val="FootnoteReference"/>
        </w:rPr>
        <w:footnoteReference w:id="69"/>
      </w:r>
      <w:r w:rsidRPr="0022678F">
        <w:t xml:space="preserve"> </w:t>
      </w:r>
      <w:r w:rsidR="00712A74">
        <w:t xml:space="preserve">Specifically, </w:t>
      </w:r>
      <w:r w:rsidR="00C24D7B">
        <w:t>the court relied on MRI results from a prior employer in 2013 that were returned normal, clearing plaintiff to work full duty.</w:t>
      </w:r>
      <w:r w:rsidR="00C24D7B">
        <w:rPr>
          <w:rStyle w:val="FootnoteReference"/>
        </w:rPr>
        <w:footnoteReference w:id="70"/>
      </w:r>
      <w:r w:rsidR="00C24D7B">
        <w:t xml:space="preserve"> </w:t>
      </w:r>
    </w:p>
    <w:p w:rsidR="005D51BC" w:rsidRPr="005D51BC" w:rsidRDefault="005D51BC" w:rsidP="003D004D">
      <w:pPr>
        <w:pStyle w:val="Normal0"/>
        <w:jc w:val="both"/>
      </w:pPr>
    </w:p>
    <w:p w:rsidR="00AD34AE" w:rsidRDefault="00611CAE" w:rsidP="003D004D">
      <w:pPr>
        <w:pStyle w:val="Normal0"/>
        <w:jc w:val="both"/>
        <w:rPr>
          <w:b/>
        </w:rPr>
      </w:pPr>
      <w:r w:rsidRPr="00611CAE">
        <w:rPr>
          <w:b/>
          <w:i/>
        </w:rPr>
        <w:t>Foret v. St. June, LLC</w:t>
      </w:r>
      <w:r w:rsidRPr="00611CAE">
        <w:rPr>
          <w:b/>
        </w:rPr>
        <w:t>, 2</w:t>
      </w:r>
      <w:r>
        <w:rPr>
          <w:b/>
        </w:rPr>
        <w:t xml:space="preserve">014 U.S. Dist. LEXIS 127317 </w:t>
      </w:r>
      <w:r w:rsidRPr="00611CAE">
        <w:rPr>
          <w:b/>
        </w:rPr>
        <w:t>(E.D. La. Sept. 11, 2014)</w:t>
      </w:r>
    </w:p>
    <w:p w:rsidR="00EB600B" w:rsidRDefault="00EB600B" w:rsidP="003D004D">
      <w:pPr>
        <w:pStyle w:val="Normal0"/>
        <w:jc w:val="both"/>
        <w:rPr>
          <w:b/>
        </w:rPr>
      </w:pPr>
    </w:p>
    <w:p w:rsidR="00EB600B" w:rsidRDefault="00EB600B" w:rsidP="003D004D">
      <w:pPr>
        <w:pStyle w:val="Normal0"/>
        <w:jc w:val="both"/>
      </w:pPr>
      <w:r>
        <w:tab/>
        <w:t xml:space="preserve">In </w:t>
      </w:r>
      <w:r>
        <w:rPr>
          <w:i/>
        </w:rPr>
        <w:t>Foret v. St. June</w:t>
      </w:r>
      <w:r>
        <w:t xml:space="preserve">, the district court applied the </w:t>
      </w:r>
      <w:r>
        <w:rPr>
          <w:i/>
        </w:rPr>
        <w:t>McCorpen</w:t>
      </w:r>
      <w:r>
        <w:t xml:space="preserve"> defense, notwithstanding that the</w:t>
      </w:r>
      <w:r w:rsidR="005F2D6B">
        <w:t xml:space="preserve"> fact that the</w:t>
      </w:r>
      <w:r>
        <w:t xml:space="preserve"> plaintiff was not </w:t>
      </w:r>
      <w:r w:rsidR="005F2D6B">
        <w:t>required to complete a pre-employment medical questionnaire or undergo a pre-employment physical.</w:t>
      </w:r>
      <w:r w:rsidR="00141014">
        <w:rPr>
          <w:rStyle w:val="FootnoteReference"/>
        </w:rPr>
        <w:footnoteReference w:id="71"/>
      </w:r>
      <w:r w:rsidR="005F2D6B">
        <w:t xml:space="preserve"> </w:t>
      </w:r>
      <w:r w:rsidR="00141014">
        <w:t xml:space="preserve">The plaintiff, who injured his back, argued </w:t>
      </w:r>
      <w:r>
        <w:t xml:space="preserve">that he did not conceal information regarding his pre-existing injuries because he voluntarily informed </w:t>
      </w:r>
      <w:r w:rsidR="00141014">
        <w:t>the employer</w:t>
      </w:r>
      <w:r>
        <w:t xml:space="preserve"> that he had previously had neck and shoulder surgery.</w:t>
      </w:r>
      <w:r w:rsidR="00751520" w:rsidRPr="00751520">
        <w:rPr>
          <w:rStyle w:val="FootnoteReference"/>
        </w:rPr>
        <w:t xml:space="preserve"> </w:t>
      </w:r>
      <w:r w:rsidR="00751520">
        <w:rPr>
          <w:rStyle w:val="FootnoteReference"/>
        </w:rPr>
        <w:footnoteReference w:id="72"/>
      </w:r>
      <w:r w:rsidR="00751520">
        <w:t xml:space="preserve"> </w:t>
      </w:r>
      <w:r>
        <w:t xml:space="preserve"> </w:t>
      </w:r>
      <w:r>
        <w:rPr>
          <w:rStyle w:val="ssrfcpassagedeactivated"/>
        </w:rPr>
        <w:t xml:space="preserve">However, </w:t>
      </w:r>
      <w:r w:rsidR="00141014">
        <w:rPr>
          <w:rStyle w:val="ssrfcpassagedeactivated"/>
        </w:rPr>
        <w:t>the p</w:t>
      </w:r>
      <w:r>
        <w:rPr>
          <w:rStyle w:val="ssrfcpassagedeactivated"/>
        </w:rPr>
        <w:t xml:space="preserve">laintiff remained </w:t>
      </w:r>
      <w:r>
        <w:rPr>
          <w:rStyle w:val="ssrfcpassagedeactivated"/>
        </w:rPr>
        <w:lastRenderedPageBreak/>
        <w:t>silent regarding his pre-existing back injuries.</w:t>
      </w:r>
      <w:r w:rsidR="00141014">
        <w:rPr>
          <w:rStyle w:val="FootnoteReference"/>
        </w:rPr>
        <w:footnoteReference w:id="73"/>
      </w:r>
      <w:r>
        <w:rPr>
          <w:rStyle w:val="ssrfcpassagedeactivated"/>
        </w:rPr>
        <w:t xml:space="preserve"> </w:t>
      </w:r>
      <w:r w:rsidR="00141014">
        <w:rPr>
          <w:rStyle w:val="ssrfcpassagedeactivated"/>
        </w:rPr>
        <w:t>“</w:t>
      </w:r>
      <w:r>
        <w:rPr>
          <w:rStyle w:val="ssrfcpassagedeactivated"/>
        </w:rPr>
        <w:t>More importantly,</w:t>
      </w:r>
      <w:r w:rsidR="00141014">
        <w:rPr>
          <w:rStyle w:val="ssrfcpassagedeactivated"/>
        </w:rPr>
        <w:t>” the</w:t>
      </w:r>
      <w:r>
        <w:rPr>
          <w:rStyle w:val="ssrfcpassagedeactivated"/>
        </w:rPr>
        <w:t xml:space="preserve"> </w:t>
      </w:r>
      <w:r w:rsidR="00141014">
        <w:rPr>
          <w:rStyle w:val="ssrfcpassagedeactivated"/>
        </w:rPr>
        <w:t>p</w:t>
      </w:r>
      <w:r>
        <w:rPr>
          <w:rStyle w:val="ssrfcpassagedeactivated"/>
        </w:rPr>
        <w:t xml:space="preserve">laintiff told </w:t>
      </w:r>
      <w:r w:rsidR="00141014">
        <w:rPr>
          <w:rStyle w:val="ssrfcpassagedeactivated"/>
        </w:rPr>
        <w:t>his employer that he was “healed”</w:t>
      </w:r>
      <w:r>
        <w:rPr>
          <w:rStyle w:val="ssrfcpassagedeactivated"/>
        </w:rPr>
        <w:t xml:space="preserve"> at the time of the interview, which </w:t>
      </w:r>
      <w:r w:rsidR="00141014">
        <w:rPr>
          <w:rStyle w:val="ssrfcpassagedeactivated"/>
        </w:rPr>
        <w:t>was</w:t>
      </w:r>
      <w:r>
        <w:rPr>
          <w:rStyle w:val="ssrfcpassagedeactivated"/>
        </w:rPr>
        <w:t xml:space="preserve"> </w:t>
      </w:r>
      <w:r w:rsidR="00141014">
        <w:rPr>
          <w:rStyle w:val="ssrfcpassagedeactivated"/>
        </w:rPr>
        <w:t>“</w:t>
      </w:r>
      <w:r>
        <w:rPr>
          <w:rStyle w:val="ssrfcpassagedeactivated"/>
        </w:rPr>
        <w:t>entirely inconsistent</w:t>
      </w:r>
      <w:r w:rsidR="00141014">
        <w:rPr>
          <w:rStyle w:val="ssrfcpassagedeactivated"/>
        </w:rPr>
        <w:t>”</w:t>
      </w:r>
      <w:r>
        <w:rPr>
          <w:rStyle w:val="ssrfcpassagedeactivated"/>
        </w:rPr>
        <w:t xml:space="preserve"> with </w:t>
      </w:r>
      <w:r w:rsidR="00141014">
        <w:rPr>
          <w:rStyle w:val="ssrfcpassagedeactivated"/>
        </w:rPr>
        <w:t>his</w:t>
      </w:r>
      <w:r>
        <w:rPr>
          <w:rStyle w:val="ssrfcpassagedeactivated"/>
        </w:rPr>
        <w:t xml:space="preserve"> medical history.</w:t>
      </w:r>
      <w:r w:rsidR="00141014">
        <w:rPr>
          <w:rStyle w:val="FootnoteReference"/>
        </w:rPr>
        <w:footnoteReference w:id="74"/>
      </w:r>
      <w:r>
        <w:rPr>
          <w:rStyle w:val="ssrfcpassagedeactivated"/>
        </w:rPr>
        <w:t xml:space="preserve"> </w:t>
      </w:r>
      <w:r>
        <w:t xml:space="preserve">Because </w:t>
      </w:r>
      <w:r w:rsidR="009E0FCC">
        <w:t xml:space="preserve">the employer showed </w:t>
      </w:r>
      <w:r w:rsidR="000A6285">
        <w:t>that p</w:t>
      </w:r>
      <w:r>
        <w:t>laintiff knew that the disclosure of his pre-exist</w:t>
      </w:r>
      <w:r w:rsidR="009E0FCC">
        <w:t>ing back and neck injuries was “plainly desired” by the employer and the plaintiff had “</w:t>
      </w:r>
      <w:r>
        <w:t>intentionally concealed and misrepresented the existenc</w:t>
      </w:r>
      <w:r w:rsidR="009E0FCC">
        <w:t xml:space="preserve">e and extent of these injuries,” the first prong of the </w:t>
      </w:r>
      <w:r w:rsidR="009E0FCC">
        <w:rPr>
          <w:i/>
        </w:rPr>
        <w:t xml:space="preserve">McCorpen </w:t>
      </w:r>
      <w:r w:rsidR="009E0FCC">
        <w:t>defense was satisfied.</w:t>
      </w:r>
      <w:r w:rsidR="00D57278">
        <w:rPr>
          <w:rStyle w:val="FootnoteReference"/>
        </w:rPr>
        <w:footnoteReference w:id="75"/>
      </w:r>
    </w:p>
    <w:p w:rsidR="00EB600B" w:rsidRDefault="00EB600B" w:rsidP="003D004D">
      <w:pPr>
        <w:pStyle w:val="Normal0"/>
        <w:spacing w:before="120"/>
      </w:pPr>
    </w:p>
    <w:p w:rsidR="00FA0D15" w:rsidRDefault="00F67520" w:rsidP="005B7123">
      <w:pPr>
        <w:pStyle w:val="Normal0"/>
        <w:tabs>
          <w:tab w:val="left" w:pos="6220"/>
        </w:tabs>
        <w:rPr>
          <w:b/>
          <w:u w:val="single"/>
        </w:rPr>
      </w:pPr>
      <w:r w:rsidRPr="00F67520">
        <w:rPr>
          <w:b/>
          <w:u w:val="single"/>
        </w:rPr>
        <w:t>Punitive Damages</w:t>
      </w:r>
    </w:p>
    <w:p w:rsidR="005B7123" w:rsidRPr="00F67520" w:rsidRDefault="005B7123" w:rsidP="005B7123">
      <w:pPr>
        <w:pStyle w:val="Normal0"/>
        <w:tabs>
          <w:tab w:val="left" w:pos="6220"/>
        </w:tabs>
        <w:rPr>
          <w:b/>
          <w:u w:val="single"/>
        </w:rPr>
      </w:pPr>
    </w:p>
    <w:p w:rsidR="00FA0D15" w:rsidRDefault="006455FC" w:rsidP="005B7123">
      <w:pPr>
        <w:pStyle w:val="Normal0"/>
        <w:rPr>
          <w:b/>
        </w:rPr>
      </w:pPr>
      <w:r w:rsidRPr="00B41E22">
        <w:rPr>
          <w:b/>
          <w:i/>
        </w:rPr>
        <w:t>Campbell v. Offshore Liftboats, LLC,</w:t>
      </w:r>
      <w:r w:rsidRPr="006455FC">
        <w:rPr>
          <w:b/>
        </w:rPr>
        <w:t xml:space="preserve"> 2015 U.S. Dist. LEXIS 34981, 2015 AMC 1075 </w:t>
      </w:r>
      <w:r w:rsidR="00286393">
        <w:rPr>
          <w:b/>
        </w:rPr>
        <w:br/>
      </w:r>
      <w:r w:rsidRPr="006455FC">
        <w:rPr>
          <w:b/>
        </w:rPr>
        <w:t>(E.D. La. March 20, 2015)</w:t>
      </w:r>
    </w:p>
    <w:p w:rsidR="005B7123" w:rsidRDefault="005B7123" w:rsidP="005B7123">
      <w:pPr>
        <w:pStyle w:val="Normal0"/>
        <w:rPr>
          <w:b/>
        </w:rPr>
      </w:pPr>
    </w:p>
    <w:p w:rsidR="005B7123" w:rsidRDefault="00286393" w:rsidP="005B7123">
      <w:pPr>
        <w:pStyle w:val="Normal0"/>
        <w:jc w:val="both"/>
      </w:pPr>
      <w:r>
        <w:tab/>
        <w:t xml:space="preserve">In </w:t>
      </w:r>
      <w:r>
        <w:rPr>
          <w:i/>
        </w:rPr>
        <w:t>Campbell v. Offshore Liftboats</w:t>
      </w:r>
      <w:r>
        <w:t>,</w:t>
      </w:r>
      <w:r>
        <w:rPr>
          <w:i/>
        </w:rPr>
        <w:t xml:space="preserve"> LLC</w:t>
      </w:r>
      <w:r>
        <w:t>, the plaintiff made a claim for punitive damages, alleging that the defendant had delayed its maintenance and cure investigation and failed to pay him a proper rate of maintenance.</w:t>
      </w:r>
      <w:r>
        <w:rPr>
          <w:rStyle w:val="FootnoteReference"/>
        </w:rPr>
        <w:footnoteReference w:id="76"/>
      </w:r>
      <w:r>
        <w:t xml:space="preserve"> The court disagreed and granted the defendant’s Motion for Summary Judgment, dismissing the punitive damages claim.</w:t>
      </w:r>
      <w:r w:rsidR="00DA7C66">
        <w:rPr>
          <w:rStyle w:val="FootnoteReference"/>
        </w:rPr>
        <w:footnoteReference w:id="77"/>
      </w:r>
      <w:r>
        <w:t xml:space="preserve"> </w:t>
      </w:r>
      <w:r w:rsidR="00E2381D">
        <w:t xml:space="preserve">Upon </w:t>
      </w:r>
      <w:r w:rsidR="00E2381D">
        <w:rPr>
          <w:rStyle w:val="ssrfcpassagedeactivated"/>
        </w:rPr>
        <w:t>receipt of the plaintiff’s maintenance and cure demand, the defendant began an investigation into his work history and the applicable law to determine, first, whether the plaintiff was a seaman under the Jones Act entitled to such payments, and second, the appropriate rate of compensation without proof of the plaintiff’s incurred food, lodging or medical expenses.</w:t>
      </w:r>
      <w:r w:rsidR="00E2381D">
        <w:rPr>
          <w:rStyle w:val="FootnoteReference"/>
        </w:rPr>
        <w:footnoteReference w:id="78"/>
      </w:r>
      <w:r w:rsidR="00C07003">
        <w:rPr>
          <w:rStyle w:val="ssrfcpassagedeactivated"/>
        </w:rPr>
        <w:t xml:space="preserve"> The defendant instituted maintenance and cure payments within ten business days, which the court found </w:t>
      </w:r>
      <w:r w:rsidR="00E37A75">
        <w:rPr>
          <w:rStyle w:val="ssrfcpassagedeactivated"/>
        </w:rPr>
        <w:t xml:space="preserve">to be a </w:t>
      </w:r>
      <w:r w:rsidR="00C07003">
        <w:rPr>
          <w:rStyle w:val="ssrfcpassagedeactivated"/>
        </w:rPr>
        <w:t>reasonable</w:t>
      </w:r>
      <w:r w:rsidR="00E37A75">
        <w:rPr>
          <w:rStyle w:val="ssrfcpassagedeactivated"/>
        </w:rPr>
        <w:t xml:space="preserve"> amount of time to conduct a “diligent” investigation</w:t>
      </w:r>
      <w:r w:rsidR="00C07003">
        <w:rPr>
          <w:rStyle w:val="ssrfcpassagedeactivated"/>
        </w:rPr>
        <w:t>.</w:t>
      </w:r>
      <w:r w:rsidR="00C07003">
        <w:rPr>
          <w:rStyle w:val="FootnoteReference"/>
        </w:rPr>
        <w:footnoteReference w:id="79"/>
      </w:r>
      <w:r w:rsidR="00C07003">
        <w:rPr>
          <w:rStyle w:val="ssrfcpassagedeactivated"/>
        </w:rPr>
        <w:t xml:space="preserve"> </w:t>
      </w:r>
      <w:r w:rsidR="000E674B">
        <w:rPr>
          <w:rStyle w:val="ssrfcpassagedeactivated"/>
        </w:rPr>
        <w:t>Furthermore, absent any supporting documentation provided by the plaintiff as to his daily expenses, $35 per day was a</w:t>
      </w:r>
      <w:r w:rsidR="00C07003">
        <w:rPr>
          <w:rStyle w:val="ssrfcpassagedeactivated"/>
        </w:rPr>
        <w:t xml:space="preserve"> reasonable </w:t>
      </w:r>
      <w:r w:rsidR="000E674B">
        <w:rPr>
          <w:rStyle w:val="ssrfcpassagedeactivated"/>
        </w:rPr>
        <w:t>maintenance rate within the U.S. Fifth Circuit.</w:t>
      </w:r>
      <w:r w:rsidR="000E674B">
        <w:rPr>
          <w:rStyle w:val="FootnoteReference"/>
        </w:rPr>
        <w:footnoteReference w:id="80"/>
      </w:r>
      <w:r w:rsidR="000E674B">
        <w:rPr>
          <w:rStyle w:val="ssrfcpassagedeactivated"/>
        </w:rPr>
        <w:t xml:space="preserve"> </w:t>
      </w:r>
      <w:r w:rsidR="00C8630D">
        <w:rPr>
          <w:rStyle w:val="ssrfcpassagedeactivated"/>
        </w:rPr>
        <w:t>Citing lack of any proof, the court also rejected plaintiff’s contention that his punitive damages claim should have been maintained on the basis that the defendant might one day, in bad faith, terminate the maintenance and cure payments before he reached maximum medical improvement.</w:t>
      </w:r>
      <w:r w:rsidR="00C8630D">
        <w:rPr>
          <w:rStyle w:val="FootnoteReference"/>
        </w:rPr>
        <w:footnoteReference w:id="81"/>
      </w:r>
    </w:p>
    <w:p w:rsidR="00C40828" w:rsidRDefault="00C8630D" w:rsidP="005B7123">
      <w:pPr>
        <w:pStyle w:val="Normal0"/>
        <w:jc w:val="both"/>
      </w:pPr>
      <w:r>
        <w:tab/>
      </w:r>
    </w:p>
    <w:p w:rsidR="00C40828" w:rsidRDefault="002F483D" w:rsidP="005B7123">
      <w:pPr>
        <w:pStyle w:val="Normal0"/>
        <w:rPr>
          <w:b/>
        </w:rPr>
      </w:pPr>
      <w:r w:rsidRPr="0015547D">
        <w:rPr>
          <w:b/>
          <w:i/>
        </w:rPr>
        <w:t>Hicks v. Tug Patriot</w:t>
      </w:r>
      <w:r w:rsidRPr="00274AC3">
        <w:rPr>
          <w:b/>
        </w:rPr>
        <w:t>, 78</w:t>
      </w:r>
      <w:r w:rsidR="00A1692C">
        <w:rPr>
          <w:b/>
        </w:rPr>
        <w:t xml:space="preserve">3 F.3d 939 </w:t>
      </w:r>
      <w:r w:rsidRPr="00274AC3">
        <w:rPr>
          <w:b/>
        </w:rPr>
        <w:t>(2d Cir. 2015)</w:t>
      </w:r>
    </w:p>
    <w:p w:rsidR="005B7123" w:rsidRPr="00274AC3" w:rsidRDefault="005B7123" w:rsidP="005B7123">
      <w:pPr>
        <w:pStyle w:val="Normal0"/>
        <w:rPr>
          <w:b/>
        </w:rPr>
      </w:pPr>
    </w:p>
    <w:p w:rsidR="000F6817" w:rsidRDefault="005C4FF8" w:rsidP="00D242EE">
      <w:pPr>
        <w:pStyle w:val="NormalWeb"/>
        <w:spacing w:before="0" w:beforeAutospacing="0" w:after="0" w:afterAutospacing="0"/>
        <w:jc w:val="both"/>
      </w:pPr>
      <w:r>
        <w:tab/>
      </w:r>
      <w:r w:rsidR="00627714">
        <w:t>I</w:t>
      </w:r>
      <w:r>
        <w:t xml:space="preserve">n </w:t>
      </w:r>
      <w:r>
        <w:rPr>
          <w:i/>
        </w:rPr>
        <w:t>Hicks v. Tug Patriot</w:t>
      </w:r>
      <w:r>
        <w:t xml:space="preserve">, </w:t>
      </w:r>
      <w:r w:rsidR="00627714">
        <w:t xml:space="preserve">the U.S. Second Circuit Court of Appeals affirmed a decision that </w:t>
      </w:r>
      <w:r>
        <w:t xml:space="preserve">a shipowner was liable for punitive damages when it </w:t>
      </w:r>
      <w:r w:rsidR="00627714">
        <w:t>prematurely terminated maintenance and cure benefits.</w:t>
      </w:r>
      <w:r w:rsidR="00627714">
        <w:rPr>
          <w:rStyle w:val="FootnoteReference"/>
        </w:rPr>
        <w:footnoteReference w:id="82"/>
      </w:r>
      <w:r w:rsidR="00627714">
        <w:t xml:space="preserve"> The plaintiff</w:t>
      </w:r>
      <w:r w:rsidR="00811016">
        <w:t xml:space="preserve"> </w:t>
      </w:r>
      <w:r w:rsidR="00A1692C">
        <w:t>injured his shoulder in the service of the vessel and subsequently underwent surgery.</w:t>
      </w:r>
      <w:r w:rsidR="00A1692C">
        <w:rPr>
          <w:rStyle w:val="FootnoteReference"/>
        </w:rPr>
        <w:footnoteReference w:id="83"/>
      </w:r>
      <w:r w:rsidR="00A1692C">
        <w:t xml:space="preserve"> </w:t>
      </w:r>
      <w:r w:rsidR="002B1F85">
        <w:t xml:space="preserve">The shipowner </w:t>
      </w:r>
      <w:r w:rsidR="002F483D">
        <w:t>hired a private investigator</w:t>
      </w:r>
      <w:r w:rsidR="002B1F85">
        <w:rPr>
          <w:rStyle w:val="sspaghide"/>
        </w:rPr>
        <w:t xml:space="preserve">, who </w:t>
      </w:r>
      <w:r w:rsidR="002F483D">
        <w:t>videotape</w:t>
      </w:r>
      <w:r w:rsidR="002B1F85">
        <w:t>d</w:t>
      </w:r>
      <w:r w:rsidR="002F483D">
        <w:t xml:space="preserve"> </w:t>
      </w:r>
      <w:r w:rsidR="002B1F85">
        <w:t>the plaintiff</w:t>
      </w:r>
      <w:r w:rsidR="002F483D">
        <w:t xml:space="preserve"> planting a small tree and playing with his grandson.</w:t>
      </w:r>
      <w:r w:rsidR="002B1F85">
        <w:rPr>
          <w:rStyle w:val="FootnoteReference"/>
        </w:rPr>
        <w:footnoteReference w:id="84"/>
      </w:r>
      <w:r w:rsidR="00092496">
        <w:t xml:space="preserve"> When the plaintiff’s </w:t>
      </w:r>
      <w:r w:rsidR="002F483D">
        <w:t xml:space="preserve">doctor requested </w:t>
      </w:r>
      <w:r w:rsidR="00092496">
        <w:lastRenderedPageBreak/>
        <w:t>authorization</w:t>
      </w:r>
      <w:r w:rsidR="002F483D">
        <w:t xml:space="preserve"> for an additional MRI scan, he was shown this footage and a document detailing the </w:t>
      </w:r>
      <w:r w:rsidR="00092496">
        <w:t xml:space="preserve">purported </w:t>
      </w:r>
      <w:r w:rsidR="002F483D">
        <w:t xml:space="preserve">physical requirements of </w:t>
      </w:r>
      <w:r w:rsidR="00092496">
        <w:t>the plaintiff’s</w:t>
      </w:r>
      <w:r w:rsidR="002F483D">
        <w:t xml:space="preserve"> job.</w:t>
      </w:r>
      <w:r w:rsidR="00092496">
        <w:rPr>
          <w:rStyle w:val="FootnoteReference"/>
        </w:rPr>
        <w:footnoteReference w:id="85"/>
      </w:r>
      <w:r w:rsidR="002F483D">
        <w:t xml:space="preserve"> Based on this video and the </w:t>
      </w:r>
      <w:r w:rsidR="00BA46FF">
        <w:t xml:space="preserve">apparently false </w:t>
      </w:r>
      <w:r w:rsidR="002F483D">
        <w:t xml:space="preserve">suggestion </w:t>
      </w:r>
      <w:r w:rsidR="00BA46FF">
        <w:t xml:space="preserve">by the shipowner that the plaintiff’s </w:t>
      </w:r>
      <w:r w:rsidR="002F483D">
        <w:t xml:space="preserve">job required only light lifting, the doctor determined that </w:t>
      </w:r>
      <w:r w:rsidR="00BA46FF">
        <w:t>the plaintiff</w:t>
      </w:r>
      <w:r w:rsidR="002F483D">
        <w:t xml:space="preserve"> was fit for duty. </w:t>
      </w:r>
      <w:r w:rsidR="00BA46FF">
        <w:t xml:space="preserve">The shipowner then terminated his maintenance and cure benefits. </w:t>
      </w:r>
      <w:r w:rsidR="002F483D">
        <w:t>Appellant accordingly informed Hicks that it would terminate maintenance and cure payments effective May 9, 2010.</w:t>
      </w:r>
      <w:r w:rsidR="00BA46FF">
        <w:rPr>
          <w:rStyle w:val="FootnoteReference"/>
        </w:rPr>
        <w:footnoteReference w:id="86"/>
      </w:r>
    </w:p>
    <w:p w:rsidR="00D242EE" w:rsidRDefault="00D242EE" w:rsidP="00D242EE">
      <w:pPr>
        <w:pStyle w:val="NormalWeb"/>
        <w:spacing w:before="0" w:beforeAutospacing="0" w:after="0" w:afterAutospacing="0"/>
        <w:jc w:val="both"/>
      </w:pPr>
    </w:p>
    <w:p w:rsidR="000F6817" w:rsidRDefault="006379FA" w:rsidP="00D242EE">
      <w:pPr>
        <w:pStyle w:val="NormalWeb"/>
        <w:spacing w:before="0" w:beforeAutospacing="0" w:after="0" w:afterAutospacing="0"/>
        <w:ind w:firstLine="720"/>
        <w:jc w:val="both"/>
      </w:pPr>
      <w:r>
        <w:t>Several months later, the plaintiff</w:t>
      </w:r>
      <w:r w:rsidR="000F6817">
        <w:t xml:space="preserve"> sought continuing care from a second doctor, who diagnosed a recurrent rotator cuff tear.</w:t>
      </w:r>
      <w:r w:rsidR="00DA7C66" w:rsidRPr="00DA7C66">
        <w:rPr>
          <w:rStyle w:val="FootnoteReference"/>
        </w:rPr>
        <w:t xml:space="preserve"> </w:t>
      </w:r>
      <w:r w:rsidR="00DA7C66">
        <w:rPr>
          <w:rStyle w:val="FootnoteReference"/>
        </w:rPr>
        <w:footnoteReference w:id="87"/>
      </w:r>
      <w:r w:rsidR="00DA7C66">
        <w:t xml:space="preserve"> </w:t>
      </w:r>
      <w:r>
        <w:t>Ultimately, the</w:t>
      </w:r>
      <w:r w:rsidR="000F6817">
        <w:t xml:space="preserve"> doctor recommended another surgery plus six months of rehabilitation to repair the additional damage.</w:t>
      </w:r>
      <w:r>
        <w:rPr>
          <w:rStyle w:val="FootnoteReference"/>
        </w:rPr>
        <w:footnoteReference w:id="88"/>
      </w:r>
      <w:r w:rsidR="000F6817">
        <w:t xml:space="preserve"> Under financial pressure caused by the </w:t>
      </w:r>
      <w:r w:rsidR="006747BD">
        <w:t xml:space="preserve">“meager maintenance” of $15.00 a day paid to the plaintiff, which was terminated, the plaintiff </w:t>
      </w:r>
      <w:r w:rsidR="000F6817">
        <w:t>returned to work while still injured.</w:t>
      </w:r>
      <w:r w:rsidR="00DA7C66" w:rsidRPr="00DA7C66">
        <w:rPr>
          <w:rStyle w:val="FootnoteReference"/>
        </w:rPr>
        <w:t xml:space="preserve"> </w:t>
      </w:r>
      <w:r w:rsidR="00DA7C66">
        <w:rPr>
          <w:rStyle w:val="FootnoteReference"/>
        </w:rPr>
        <w:footnoteReference w:id="89"/>
      </w:r>
      <w:r w:rsidR="00DA7C66">
        <w:t xml:space="preserve"> </w:t>
      </w:r>
      <w:r w:rsidR="000F6817">
        <w:t xml:space="preserve"> Severe financial difficulties caused him to miss some of his physical therapy appointments.</w:t>
      </w:r>
      <w:r w:rsidR="00DA7C66" w:rsidRPr="00DA7C66">
        <w:rPr>
          <w:rStyle w:val="FootnoteReference"/>
        </w:rPr>
        <w:t xml:space="preserve"> </w:t>
      </w:r>
      <w:r w:rsidR="00DA7C66">
        <w:rPr>
          <w:rStyle w:val="FootnoteReference"/>
        </w:rPr>
        <w:footnoteReference w:id="90"/>
      </w:r>
      <w:r w:rsidR="00DA7C66">
        <w:t xml:space="preserve"> </w:t>
      </w:r>
      <w:r w:rsidR="000F6817">
        <w:t xml:space="preserve"> </w:t>
      </w:r>
      <w:r w:rsidR="006747BD">
        <w:t>His house was put into foreclosure</w:t>
      </w:r>
      <w:r w:rsidR="000F6817">
        <w:t xml:space="preserve"> and he was unable to pay for health insurance.</w:t>
      </w:r>
      <w:r w:rsidR="00DA7C66" w:rsidRPr="00DA7C66">
        <w:rPr>
          <w:rStyle w:val="FootnoteReference"/>
        </w:rPr>
        <w:t xml:space="preserve"> </w:t>
      </w:r>
      <w:r w:rsidR="00DA7C66">
        <w:rPr>
          <w:rStyle w:val="FootnoteReference"/>
        </w:rPr>
        <w:footnoteReference w:id="91"/>
      </w:r>
    </w:p>
    <w:p w:rsidR="00D242EE" w:rsidRDefault="00D242EE" w:rsidP="00D242EE">
      <w:pPr>
        <w:pStyle w:val="NormalWeb"/>
        <w:spacing w:before="0" w:beforeAutospacing="0" w:after="0" w:afterAutospacing="0"/>
        <w:ind w:firstLine="720"/>
        <w:jc w:val="both"/>
      </w:pPr>
    </w:p>
    <w:p w:rsidR="006747BD" w:rsidRDefault="006747BD" w:rsidP="004A6953">
      <w:pPr>
        <w:pStyle w:val="NormalWeb"/>
        <w:spacing w:before="0" w:beforeAutospacing="0" w:after="0" w:afterAutospacing="0"/>
        <w:ind w:firstLine="720"/>
        <w:jc w:val="both"/>
      </w:pPr>
      <w:r>
        <w:t xml:space="preserve"> The jury found that appellant's failure to pay maintenance and cure was unreasonable and willful and awarded $123,000 in punitive damages.</w:t>
      </w:r>
      <w:r w:rsidR="00DA7C66" w:rsidRPr="00DA7C66">
        <w:rPr>
          <w:rStyle w:val="FootnoteReference"/>
        </w:rPr>
        <w:t xml:space="preserve"> </w:t>
      </w:r>
      <w:r w:rsidR="00DA7C66">
        <w:rPr>
          <w:rStyle w:val="FootnoteReference"/>
        </w:rPr>
        <w:footnoteReference w:id="92"/>
      </w:r>
      <w:r w:rsidR="00DA7C66">
        <w:t xml:space="preserve"> </w:t>
      </w:r>
      <w:r>
        <w:t xml:space="preserve"> Based on the finding of willfulness, the district court, upon a motion under Fed. R. Civ. P. 54(d), granted the plaintiff an additional $112,083.77 in attorney's fees.</w:t>
      </w:r>
      <w:r>
        <w:rPr>
          <w:rStyle w:val="FootnoteReference"/>
        </w:rPr>
        <w:footnoteReference w:id="93"/>
      </w:r>
      <w:r w:rsidR="00885289">
        <w:t xml:space="preserve"> The U.</w:t>
      </w:r>
      <w:r w:rsidR="00602942">
        <w:t>S. Second Circuit affirmed the decision,</w:t>
      </w:r>
      <w:r w:rsidR="00885289">
        <w:t xml:space="preserve"> diverging from prior precedent and holding that the amount of recoverable punitive damages is </w:t>
      </w:r>
      <w:r w:rsidR="00885289">
        <w:rPr>
          <w:i/>
        </w:rPr>
        <w:t>not</w:t>
      </w:r>
      <w:r w:rsidR="00885289">
        <w:t xml:space="preserve"> limited to the amount of reasonable attorney’s fees</w:t>
      </w:r>
      <w:r w:rsidR="00602942">
        <w:t>, which are available when the refusal to pay maintenance is “willful.”</w:t>
      </w:r>
      <w:r w:rsidR="00885289">
        <w:rPr>
          <w:rStyle w:val="FootnoteReference"/>
        </w:rPr>
        <w:footnoteReference w:id="94"/>
      </w:r>
    </w:p>
    <w:p w:rsidR="004A6953" w:rsidRPr="00885289" w:rsidRDefault="004A6953" w:rsidP="004A6953">
      <w:pPr>
        <w:pStyle w:val="NormalWeb"/>
        <w:spacing w:before="0" w:beforeAutospacing="0" w:after="0" w:afterAutospacing="0"/>
        <w:ind w:firstLine="720"/>
        <w:jc w:val="both"/>
      </w:pPr>
    </w:p>
    <w:p w:rsidR="00F32940" w:rsidRDefault="00F32940" w:rsidP="004A6953">
      <w:pPr>
        <w:pStyle w:val="NormalWeb"/>
        <w:spacing w:before="0" w:beforeAutospacing="0" w:after="0" w:afterAutospacing="0"/>
        <w:rPr>
          <w:b/>
        </w:rPr>
      </w:pPr>
      <w:r w:rsidRPr="00B41E22">
        <w:rPr>
          <w:b/>
          <w:i/>
        </w:rPr>
        <w:t>Jefferson v. Baywater Drilling, LLC,</w:t>
      </w:r>
      <w:r w:rsidRPr="00CA2344">
        <w:rPr>
          <w:b/>
        </w:rPr>
        <w:t xml:space="preserve"> </w:t>
      </w:r>
      <w:r w:rsidR="006F7286">
        <w:rPr>
          <w:b/>
        </w:rPr>
        <w:t xml:space="preserve">2015 U.S. Dist. LEXIS 9314, </w:t>
      </w:r>
      <w:r w:rsidRPr="00CA2344">
        <w:rPr>
          <w:b/>
        </w:rPr>
        <w:t xml:space="preserve">2015 AMC 571 </w:t>
      </w:r>
      <w:r w:rsidR="0015547D">
        <w:rPr>
          <w:b/>
        </w:rPr>
        <w:br/>
      </w:r>
      <w:r w:rsidRPr="00CA2344">
        <w:rPr>
          <w:b/>
        </w:rPr>
        <w:t xml:space="preserve">(E.D. La. </w:t>
      </w:r>
      <w:r w:rsidR="00E65875" w:rsidRPr="00CA2344">
        <w:rPr>
          <w:b/>
        </w:rPr>
        <w:t xml:space="preserve">Jan. 27, </w:t>
      </w:r>
      <w:r w:rsidRPr="00CA2344">
        <w:rPr>
          <w:b/>
        </w:rPr>
        <w:t>2015)</w:t>
      </w:r>
    </w:p>
    <w:p w:rsidR="004A6953" w:rsidRPr="006F7286" w:rsidRDefault="004A6953" w:rsidP="004A6953">
      <w:pPr>
        <w:pStyle w:val="NormalWeb"/>
        <w:spacing w:before="0" w:beforeAutospacing="0" w:after="0" w:afterAutospacing="0"/>
      </w:pPr>
    </w:p>
    <w:p w:rsidR="00222314" w:rsidRDefault="008F5101" w:rsidP="009630FA">
      <w:pPr>
        <w:pStyle w:val="NormalWeb"/>
        <w:spacing w:before="0" w:beforeAutospacing="0" w:after="0" w:afterAutospacing="0"/>
        <w:jc w:val="both"/>
      </w:pPr>
      <w:r>
        <w:tab/>
        <w:t xml:space="preserve">Following a bench trial, the court in </w:t>
      </w:r>
      <w:r>
        <w:rPr>
          <w:i/>
        </w:rPr>
        <w:t>Jefferson v. Baywater Drilling</w:t>
      </w:r>
      <w:r>
        <w:t>, awarded punitive damages where the defendant had performed an unreasonable and inadequate maintenance and cure investigation, prior to denying benefits.</w:t>
      </w:r>
      <w:r>
        <w:rPr>
          <w:rStyle w:val="FootnoteReference"/>
        </w:rPr>
        <w:footnoteReference w:id="95"/>
      </w:r>
      <w:r>
        <w:t xml:space="preserve"> </w:t>
      </w:r>
      <w:r w:rsidR="001170E7">
        <w:t>The p</w:t>
      </w:r>
      <w:r w:rsidR="00F32940">
        <w:t xml:space="preserve">laintiff </w:t>
      </w:r>
      <w:r w:rsidR="001170E7">
        <w:t>had</w:t>
      </w:r>
      <w:r w:rsidR="00F32940">
        <w:t xml:space="preserve"> developed a disabling skin condition while working as a seaman aboard the</w:t>
      </w:r>
      <w:r w:rsidR="001170E7">
        <w:t xml:space="preserve"> defendant’s vessel.</w:t>
      </w:r>
      <w:r w:rsidR="001170E7">
        <w:rPr>
          <w:rStyle w:val="FootnoteReference"/>
        </w:rPr>
        <w:footnoteReference w:id="96"/>
      </w:r>
      <w:r w:rsidR="00F32940">
        <w:t xml:space="preserve"> </w:t>
      </w:r>
      <w:r w:rsidR="00FD62AC">
        <w:t>The shipowner’s human resource</w:t>
      </w:r>
      <w:r w:rsidR="00AF76E1">
        <w:t>s</w:t>
      </w:r>
      <w:r w:rsidR="00FD62AC">
        <w:t xml:space="preserve"> manager conducted the maintenance and cure investigation, which consisted of speaking with plaintiff’s coworkers and reviewing incident reports.</w:t>
      </w:r>
      <w:r w:rsidR="00FD62AC">
        <w:rPr>
          <w:rStyle w:val="FootnoteReference"/>
        </w:rPr>
        <w:footnoteReference w:id="97"/>
      </w:r>
      <w:r w:rsidR="00FD62AC">
        <w:t xml:space="preserve"> </w:t>
      </w:r>
      <w:r w:rsidR="00AF76E1">
        <w:t>The shipowner ultimately concluded that the plaintiff’s</w:t>
      </w:r>
      <w:r w:rsidR="00AF76E1" w:rsidRPr="00F60D9C">
        <w:t xml:space="preserve"> injuries were caused by a pre-existing condition related to herpes or a reaction </w:t>
      </w:r>
      <w:r w:rsidR="00AF76E1" w:rsidRPr="00F60D9C">
        <w:lastRenderedPageBreak/>
        <w:t>to the medicine he allegedly brought aboard the</w:t>
      </w:r>
      <w:r w:rsidR="00AF76E1">
        <w:t xml:space="preserve"> vessel.</w:t>
      </w:r>
      <w:r w:rsidR="00AF76E1">
        <w:rPr>
          <w:rStyle w:val="FootnoteReference"/>
        </w:rPr>
        <w:footnoteReference w:id="98"/>
      </w:r>
      <w:r w:rsidR="00222314">
        <w:t xml:space="preserve"> </w:t>
      </w:r>
      <w:r w:rsidR="00222314" w:rsidRPr="00F60D9C">
        <w:t>There was no further inve</w:t>
      </w:r>
      <w:r w:rsidR="00222314">
        <w:t xml:space="preserve">stigation of Plaintiff's claims, the shipowner </w:t>
      </w:r>
      <w:r w:rsidR="00222314" w:rsidRPr="00F60D9C">
        <w:t xml:space="preserve">did not review </w:t>
      </w:r>
      <w:r w:rsidR="00222314">
        <w:t>the plaintiff's medical records, and the shipowner did not request that the p</w:t>
      </w:r>
      <w:r w:rsidR="00222314" w:rsidRPr="00F60D9C">
        <w:t>laintiff be tested for herpes or that any tests be done to establish a co</w:t>
      </w:r>
      <w:r w:rsidR="00222314">
        <w:t>nnection between the plaintiff’s skin condition</w:t>
      </w:r>
      <w:r w:rsidR="00222314" w:rsidRPr="00F60D9C">
        <w:t xml:space="preserve"> and the medication he allegedly brought to work.</w:t>
      </w:r>
      <w:r w:rsidR="00222314">
        <w:rPr>
          <w:rStyle w:val="FootnoteReference"/>
        </w:rPr>
        <w:footnoteReference w:id="99"/>
      </w:r>
    </w:p>
    <w:p w:rsidR="009630FA" w:rsidRDefault="009630FA" w:rsidP="009630FA">
      <w:pPr>
        <w:pStyle w:val="NormalWeb"/>
        <w:spacing w:before="0" w:beforeAutospacing="0" w:after="0" w:afterAutospacing="0"/>
        <w:jc w:val="both"/>
      </w:pPr>
    </w:p>
    <w:p w:rsidR="0099024E" w:rsidRDefault="00222314" w:rsidP="009630FA">
      <w:pPr>
        <w:pStyle w:val="NormalWeb"/>
        <w:spacing w:before="0" w:beforeAutospacing="0" w:after="0" w:afterAutospacing="0"/>
        <w:jc w:val="both"/>
      </w:pPr>
      <w:r>
        <w:tab/>
        <w:t>The court found the maintena</w:t>
      </w:r>
      <w:r w:rsidR="00A17A1B">
        <w:t xml:space="preserve">nce and cure investigation was </w:t>
      </w:r>
      <w:bookmarkStart w:id="0" w:name="_GoBack"/>
      <w:bookmarkEnd w:id="0"/>
      <w:r>
        <w:t>“</w:t>
      </w:r>
      <w:r w:rsidRPr="00B94EE7">
        <w:t>impermissibly lax</w:t>
      </w:r>
      <w:r>
        <w:t>.”</w:t>
      </w:r>
      <w:r>
        <w:rPr>
          <w:rStyle w:val="FootnoteReference"/>
        </w:rPr>
        <w:footnoteReference w:id="100"/>
      </w:r>
      <w:r w:rsidR="002B7453">
        <w:t xml:space="preserve"> </w:t>
      </w:r>
      <w:r w:rsidR="002B7453" w:rsidRPr="00B94EE7">
        <w:t xml:space="preserve">The denial of maintenance and cure was </w:t>
      </w:r>
      <w:r w:rsidR="002B7453">
        <w:t xml:space="preserve">“arbitrary and capricious” and the plaintiff was entitled to </w:t>
      </w:r>
      <w:r w:rsidR="002B7453" w:rsidRPr="00B94EE7">
        <w:t>compensatory damages, punitive damages, and attorneys' fees.</w:t>
      </w:r>
      <w:r w:rsidR="002B7453">
        <w:rPr>
          <w:rStyle w:val="FootnoteReference"/>
        </w:rPr>
        <w:footnoteReference w:id="101"/>
      </w:r>
      <w:r w:rsidR="002B7453">
        <w:t xml:space="preserve"> The court awarded $10,000 in punitive damages.</w:t>
      </w:r>
      <w:r w:rsidR="00731EBA">
        <w:rPr>
          <w:rStyle w:val="FootnoteReference"/>
        </w:rPr>
        <w:footnoteReference w:id="102"/>
      </w:r>
      <w:r w:rsidR="002B7453">
        <w:t xml:space="preserve"> </w:t>
      </w:r>
    </w:p>
    <w:sectPr w:rsidR="009902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2E" w:rsidRDefault="0035232E" w:rsidP="00CE76C6">
      <w:pPr>
        <w:spacing w:after="0" w:line="240" w:lineRule="auto"/>
      </w:pPr>
      <w:r>
        <w:separator/>
      </w:r>
    </w:p>
  </w:endnote>
  <w:endnote w:type="continuationSeparator" w:id="0">
    <w:p w:rsidR="0035232E" w:rsidRDefault="0035232E" w:rsidP="00CE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87116"/>
      <w:docPartObj>
        <w:docPartGallery w:val="Page Numbers (Bottom of Page)"/>
        <w:docPartUnique/>
      </w:docPartObj>
    </w:sdtPr>
    <w:sdtEndPr>
      <w:rPr>
        <w:noProof/>
      </w:rPr>
    </w:sdtEndPr>
    <w:sdtContent>
      <w:p w:rsidR="00712A74" w:rsidRDefault="00712A74">
        <w:pPr>
          <w:pStyle w:val="Footer"/>
          <w:jc w:val="center"/>
        </w:pPr>
        <w:r>
          <w:fldChar w:fldCharType="begin"/>
        </w:r>
        <w:r>
          <w:instrText xml:space="preserve"> PAGE   \* MERGEFORMAT </w:instrText>
        </w:r>
        <w:r>
          <w:fldChar w:fldCharType="separate"/>
        </w:r>
        <w:r w:rsidR="00A17A1B">
          <w:rPr>
            <w:noProof/>
          </w:rPr>
          <w:t>10</w:t>
        </w:r>
        <w:r>
          <w:rPr>
            <w:noProof/>
          </w:rPr>
          <w:fldChar w:fldCharType="end"/>
        </w:r>
      </w:p>
    </w:sdtContent>
  </w:sdt>
  <w:p w:rsidR="00712A74" w:rsidRDefault="0071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2E" w:rsidRDefault="0035232E" w:rsidP="00CE76C6">
      <w:pPr>
        <w:spacing w:after="0" w:line="240" w:lineRule="auto"/>
      </w:pPr>
      <w:r>
        <w:separator/>
      </w:r>
    </w:p>
  </w:footnote>
  <w:footnote w:type="continuationSeparator" w:id="0">
    <w:p w:rsidR="0035232E" w:rsidRDefault="0035232E" w:rsidP="00CE76C6">
      <w:pPr>
        <w:spacing w:after="0" w:line="240" w:lineRule="auto"/>
      </w:pPr>
      <w:r>
        <w:continuationSeparator/>
      </w:r>
    </w:p>
  </w:footnote>
  <w:footnote w:id="1">
    <w:p w:rsidR="00712A74" w:rsidRPr="00357EED" w:rsidRDefault="00712A74">
      <w:pPr>
        <w:pStyle w:val="FootnoteText"/>
        <w:rPr>
          <w:rFonts w:ascii="Times New Roman" w:hAnsi="Times New Roman" w:cs="Times New Roman"/>
        </w:rPr>
      </w:pPr>
      <w:r w:rsidRPr="00396939">
        <w:rPr>
          <w:rStyle w:val="FootnoteReference"/>
        </w:rPr>
        <w:footnoteRef/>
      </w:r>
      <w:r w:rsidRPr="00396939">
        <w:t xml:space="preserve"> </w:t>
      </w:r>
      <w:r w:rsidRPr="00357EED">
        <w:rPr>
          <w:rFonts w:ascii="Times New Roman" w:hAnsi="Times New Roman" w:cs="Times New Roman"/>
          <w:i/>
        </w:rPr>
        <w:t>Arctic Storm, Inc. v. Madrid</w:t>
      </w:r>
      <w:r w:rsidRPr="00357EED">
        <w:rPr>
          <w:rFonts w:ascii="Times New Roman" w:hAnsi="Times New Roman" w:cs="Times New Roman"/>
        </w:rPr>
        <w:t>, 2015 U.S. Dist. LEXIS 102323, at *2 (W.D. Wash. May 22, 2015).</w:t>
      </w:r>
    </w:p>
  </w:footnote>
  <w:footnote w:id="2">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p>
  </w:footnote>
  <w:footnote w:id="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 xml:space="preserve">Id. </w:t>
      </w:r>
    </w:p>
  </w:footnote>
  <w:footnote w:id="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*2-3. </w:t>
      </w:r>
    </w:p>
  </w:footnote>
  <w:footnote w:id="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sidR="007570A0" w:rsidRPr="00357EED">
        <w:rPr>
          <w:rFonts w:ascii="Times New Roman" w:hAnsi="Times New Roman" w:cs="Times New Roman"/>
        </w:rPr>
        <w:t>1</w:t>
      </w:r>
      <w:r w:rsidR="007570A0">
        <w:rPr>
          <w:rFonts w:ascii="Times New Roman" w:hAnsi="Times New Roman" w:cs="Times New Roman"/>
        </w:rPr>
        <w:t>1</w:t>
      </w:r>
      <w:r w:rsidR="007570A0" w:rsidRPr="00357EED">
        <w:rPr>
          <w:rFonts w:ascii="Times New Roman" w:hAnsi="Times New Roman" w:cs="Times New Roman"/>
        </w:rPr>
        <w:t xml:space="preserve"> </w:t>
      </w:r>
      <w:r w:rsidRPr="00357EED">
        <w:rPr>
          <w:rFonts w:ascii="Times New Roman" w:hAnsi="Times New Roman" w:cs="Times New Roman"/>
        </w:rPr>
        <w:t xml:space="preserve">(citing </w:t>
      </w:r>
      <w:r w:rsidRPr="00357EED">
        <w:rPr>
          <w:rFonts w:ascii="Times New Roman" w:hAnsi="Times New Roman" w:cs="Times New Roman"/>
          <w:i/>
        </w:rPr>
        <w:t>Boyden v. Am. Seafoods Co.</w:t>
      </w:r>
      <w:r w:rsidRPr="00357EED">
        <w:rPr>
          <w:rFonts w:ascii="Times New Roman" w:hAnsi="Times New Roman" w:cs="Times New Roman"/>
        </w:rPr>
        <w:t>, 2000 AMC 1512 (W.D. Wash. Mar. 21, 2000)</w:t>
      </w:r>
      <w:r w:rsidR="00357EED">
        <w:rPr>
          <w:rFonts w:ascii="Times New Roman" w:hAnsi="Times New Roman" w:cs="Times New Roman"/>
        </w:rPr>
        <w:t>)</w:t>
      </w:r>
      <w:r w:rsidRPr="00357EED">
        <w:rPr>
          <w:rFonts w:ascii="Times New Roman" w:hAnsi="Times New Roman" w:cs="Times New Roman"/>
        </w:rPr>
        <w:t>.</w:t>
      </w:r>
    </w:p>
  </w:footnote>
  <w:footnote w:id="6">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*13.</w:t>
      </w:r>
    </w:p>
  </w:footnote>
  <w:footnote w:id="7">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*14. </w:t>
      </w:r>
    </w:p>
  </w:footnote>
  <w:footnote w:id="8">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sidR="007570A0" w:rsidRPr="00357EED">
        <w:rPr>
          <w:rFonts w:ascii="Times New Roman" w:hAnsi="Times New Roman" w:cs="Times New Roman"/>
        </w:rPr>
        <w:t>1</w:t>
      </w:r>
      <w:r w:rsidR="007570A0">
        <w:rPr>
          <w:rFonts w:ascii="Times New Roman" w:hAnsi="Times New Roman" w:cs="Times New Roman"/>
        </w:rPr>
        <w:t>2</w:t>
      </w:r>
      <w:r w:rsidRPr="00357EED">
        <w:rPr>
          <w:rFonts w:ascii="Times New Roman" w:hAnsi="Times New Roman" w:cs="Times New Roman"/>
        </w:rPr>
        <w:t xml:space="preserve">. </w:t>
      </w:r>
    </w:p>
  </w:footnote>
  <w:footnote w:id="9">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Blanchard v. United States</w:t>
      </w:r>
      <w:r w:rsidRPr="00357EED">
        <w:rPr>
          <w:rFonts w:ascii="Times New Roman" w:hAnsi="Times New Roman" w:cs="Times New Roman"/>
        </w:rPr>
        <w:t>, 2014 U.S. Dist. LEXIS 131958, at *2, 2014 AMC 2888 (W.D. La. Sept. 19, 2014).</w:t>
      </w:r>
    </w:p>
  </w:footnote>
  <w:footnote w:id="10">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00C7714B">
        <w:rPr>
          <w:rFonts w:ascii="Times New Roman" w:hAnsi="Times New Roman" w:cs="Times New Roman"/>
        </w:rPr>
        <w:t xml:space="preserve"> </w:t>
      </w:r>
      <w:r w:rsidR="00C7714B">
        <w:rPr>
          <w:rFonts w:ascii="Times New Roman" w:hAnsi="Times New Roman" w:cs="Times New Roman"/>
          <w:i/>
        </w:rPr>
        <w:t>Blanchard</w:t>
      </w:r>
      <w:r w:rsidR="00C7714B">
        <w:rPr>
          <w:rFonts w:ascii="Times New Roman" w:hAnsi="Times New Roman" w:cs="Times New Roman"/>
        </w:rPr>
        <w:t>,</w:t>
      </w:r>
      <w:r w:rsidR="00C7714B">
        <w:rPr>
          <w:rFonts w:ascii="Times New Roman" w:hAnsi="Times New Roman" w:cs="Times New Roman"/>
          <w:i/>
        </w:rPr>
        <w:t xml:space="preserve"> </w:t>
      </w:r>
      <w:r w:rsidR="00C7714B" w:rsidRPr="00357EED">
        <w:rPr>
          <w:rFonts w:ascii="Times New Roman" w:hAnsi="Times New Roman" w:cs="Times New Roman"/>
        </w:rPr>
        <w:t>2014 U.S. Dist. LEXIS 131958,</w:t>
      </w:r>
      <w:r w:rsidR="00C7714B">
        <w:rPr>
          <w:rFonts w:ascii="Times New Roman" w:hAnsi="Times New Roman" w:cs="Times New Roman"/>
        </w:rPr>
        <w:t xml:space="preserve"> at *2.</w:t>
      </w:r>
    </w:p>
  </w:footnote>
  <w:footnote w:id="11">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9C020B">
        <w:rPr>
          <w:rFonts w:ascii="Times New Roman" w:hAnsi="Times New Roman" w:cs="Times New Roman"/>
          <w:i/>
        </w:rPr>
        <w:t>Id</w:t>
      </w:r>
      <w:r w:rsidRPr="00357EED">
        <w:rPr>
          <w:rFonts w:ascii="Times New Roman" w:hAnsi="Times New Roman" w:cs="Times New Roman"/>
        </w:rPr>
        <w:t xml:space="preserve">. at *2-3. </w:t>
      </w:r>
    </w:p>
  </w:footnote>
  <w:footnote w:id="12">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*3.</w:t>
      </w:r>
    </w:p>
  </w:footnote>
  <w:footnote w:id="1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9C020B">
        <w:rPr>
          <w:rFonts w:ascii="Times New Roman" w:hAnsi="Times New Roman" w:cs="Times New Roman"/>
          <w:i/>
        </w:rPr>
        <w:t>Id</w:t>
      </w:r>
      <w:r w:rsidRPr="00357EED">
        <w:rPr>
          <w:rFonts w:ascii="Times New Roman" w:hAnsi="Times New Roman" w:cs="Times New Roman"/>
        </w:rPr>
        <w:t xml:space="preserve">. </w:t>
      </w:r>
    </w:p>
  </w:footnote>
  <w:footnote w:id="1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sidR="007570A0">
        <w:rPr>
          <w:rFonts w:ascii="Times New Roman" w:hAnsi="Times New Roman" w:cs="Times New Roman"/>
        </w:rPr>
        <w:t>4</w:t>
      </w:r>
      <w:r w:rsidRPr="00357EED">
        <w:rPr>
          <w:rFonts w:ascii="Times New Roman" w:hAnsi="Times New Roman" w:cs="Times New Roman"/>
        </w:rPr>
        <w:t xml:space="preserve">. </w:t>
      </w:r>
    </w:p>
  </w:footnote>
  <w:footnote w:id="1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9C020B">
        <w:rPr>
          <w:rFonts w:ascii="Times New Roman" w:hAnsi="Times New Roman" w:cs="Times New Roman"/>
          <w:i/>
        </w:rPr>
        <w:t>Id</w:t>
      </w:r>
      <w:r w:rsidRPr="00357EED">
        <w:rPr>
          <w:rFonts w:ascii="Times New Roman" w:hAnsi="Times New Roman" w:cs="Times New Roman"/>
        </w:rPr>
        <w:t>.</w:t>
      </w:r>
      <w:r w:rsidR="007570A0">
        <w:rPr>
          <w:rFonts w:ascii="Times New Roman" w:hAnsi="Times New Roman" w:cs="Times New Roman"/>
        </w:rPr>
        <w:t xml:space="preserve"> at *7.</w:t>
      </w:r>
    </w:p>
  </w:footnote>
  <w:footnote w:id="16">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*8 (citing </w:t>
      </w:r>
      <w:r w:rsidRPr="00357EED">
        <w:rPr>
          <w:rFonts w:ascii="Times New Roman" w:hAnsi="Times New Roman" w:cs="Times New Roman"/>
          <w:i/>
        </w:rPr>
        <w:t>Bertram v. Freeport McMoran, Inc.</w:t>
      </w:r>
      <w:r w:rsidRPr="00357EED">
        <w:rPr>
          <w:rFonts w:ascii="Times New Roman" w:hAnsi="Times New Roman" w:cs="Times New Roman"/>
        </w:rPr>
        <w:t>, 35 F.3d 1008, 1013 (5th Cir.1994)</w:t>
      </w:r>
      <w:r w:rsidRPr="00357EED">
        <w:rPr>
          <w:rFonts w:ascii="Times New Roman" w:hAnsi="Times New Roman" w:cs="Times New Roman"/>
          <w:i/>
        </w:rPr>
        <w:t>; Savoie v. LaFourche Boat Rentals</w:t>
      </w:r>
      <w:r w:rsidRPr="00357EED">
        <w:rPr>
          <w:rFonts w:ascii="Times New Roman" w:hAnsi="Times New Roman" w:cs="Times New Roman"/>
        </w:rPr>
        <w:t xml:space="preserve">, 627 F.2d 722, 723 (5th Cir.1980); </w:t>
      </w:r>
      <w:r w:rsidRPr="00357EED">
        <w:rPr>
          <w:rFonts w:ascii="Times New Roman" w:hAnsi="Times New Roman" w:cs="Times New Roman"/>
          <w:i/>
        </w:rPr>
        <w:t>Adams v. Texaco, Inc.,</w:t>
      </w:r>
      <w:r w:rsidRPr="00357EED">
        <w:rPr>
          <w:rFonts w:ascii="Times New Roman" w:hAnsi="Times New Roman" w:cs="Times New Roman"/>
        </w:rPr>
        <w:t xml:space="preserve"> 640 F.2d 618, 620</w:t>
      </w:r>
      <w:r w:rsidRPr="00357EED">
        <w:rPr>
          <w:rFonts w:ascii="Times New Roman" w:hAnsi="Times New Roman" w:cs="Times New Roman"/>
          <w:i/>
        </w:rPr>
        <w:t xml:space="preserve"> </w:t>
      </w:r>
      <w:r w:rsidRPr="00357EED">
        <w:rPr>
          <w:rFonts w:ascii="Times New Roman" w:hAnsi="Times New Roman" w:cs="Times New Roman"/>
        </w:rPr>
        <w:t>(5th Cir. 1981)).</w:t>
      </w:r>
    </w:p>
  </w:footnote>
  <w:footnote w:id="17">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sidRPr="00357EED">
        <w:rPr>
          <w:rFonts w:ascii="Times New Roman" w:hAnsi="Times New Roman" w:cs="Times New Roman"/>
          <w:i/>
        </w:rPr>
        <w:t xml:space="preserve">Davis v. Odeco, Inc., </w:t>
      </w:r>
      <w:r w:rsidRPr="00357EED">
        <w:rPr>
          <w:rFonts w:ascii="Times New Roman" w:hAnsi="Times New Roman" w:cs="Times New Roman"/>
        </w:rPr>
        <w:t xml:space="preserve">18 F.3d 1237, 1244 n. 21. (5th Cir. 1994)).  </w:t>
      </w:r>
    </w:p>
  </w:footnote>
  <w:footnote w:id="18">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*14. </w:t>
      </w:r>
    </w:p>
  </w:footnote>
  <w:footnote w:id="19">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9C020B">
        <w:rPr>
          <w:rFonts w:ascii="Times New Roman" w:hAnsi="Times New Roman" w:cs="Times New Roman"/>
          <w:i/>
        </w:rPr>
        <w:t>Id</w:t>
      </w:r>
      <w:r w:rsidRPr="00357EED">
        <w:rPr>
          <w:rFonts w:ascii="Times New Roman" w:hAnsi="Times New Roman" w:cs="Times New Roman"/>
        </w:rPr>
        <w:t xml:space="preserve">. (citing </w:t>
      </w:r>
      <w:r w:rsidRPr="00357EED">
        <w:rPr>
          <w:rFonts w:ascii="Times New Roman" w:hAnsi="Times New Roman" w:cs="Times New Roman"/>
          <w:i/>
        </w:rPr>
        <w:t>Jones v. Waterman S.S. Corp.</w:t>
      </w:r>
      <w:r w:rsidRPr="00357EED">
        <w:rPr>
          <w:rFonts w:ascii="Times New Roman" w:hAnsi="Times New Roman" w:cs="Times New Roman"/>
        </w:rPr>
        <w:t xml:space="preserve">, 155 F.2d 992 (3rd Cir. 1946); </w:t>
      </w:r>
      <w:r w:rsidRPr="00357EED">
        <w:rPr>
          <w:rFonts w:ascii="Times New Roman" w:hAnsi="Times New Roman" w:cs="Times New Roman"/>
          <w:i/>
        </w:rPr>
        <w:t>Bertram v. Freeport McMoran, Inc.</w:t>
      </w:r>
      <w:r w:rsidRPr="00357EED">
        <w:rPr>
          <w:rFonts w:ascii="Times New Roman" w:hAnsi="Times New Roman" w:cs="Times New Roman"/>
        </w:rPr>
        <w:t xml:space="preserve">, 35 F.3d 1008 (5th Cir.1994)). </w:t>
      </w:r>
    </w:p>
  </w:footnote>
  <w:footnote w:id="20">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r w:rsidR="00EE6AEB">
        <w:rPr>
          <w:rFonts w:ascii="Times New Roman" w:hAnsi="Times New Roman" w:cs="Times New Roman"/>
        </w:rPr>
        <w:t xml:space="preserve">at </w:t>
      </w:r>
      <w:r w:rsidRPr="00357EED">
        <w:rPr>
          <w:rFonts w:ascii="Times New Roman" w:hAnsi="Times New Roman" w:cs="Times New Roman"/>
        </w:rPr>
        <w:t xml:space="preserve">*14-15. </w:t>
      </w:r>
    </w:p>
  </w:footnote>
  <w:footnote w:id="21">
    <w:p w:rsidR="00712A74" w:rsidRPr="00357EED" w:rsidRDefault="00712A74" w:rsidP="00F16227">
      <w:pPr>
        <w:pStyle w:val="FootnoteText"/>
        <w:jc w:val="both"/>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480C51" w:rsidRPr="00480C51">
        <w:rPr>
          <w:rFonts w:ascii="Times New Roman" w:hAnsi="Times New Roman" w:cs="Times New Roman"/>
          <w:i/>
        </w:rPr>
        <w:t>Helix Energy Solutions Group, Inc. v. Howard,</w:t>
      </w:r>
      <w:r w:rsidR="00480C51">
        <w:rPr>
          <w:rFonts w:ascii="Times New Roman" w:hAnsi="Times New Roman" w:cs="Times New Roman"/>
          <w:b/>
        </w:rPr>
        <w:t xml:space="preserve"> </w:t>
      </w:r>
      <w:r w:rsidRPr="00357EED">
        <w:rPr>
          <w:rFonts w:ascii="Times New Roman" w:hAnsi="Times New Roman" w:cs="Times New Roman"/>
        </w:rPr>
        <w:t xml:space="preserve">452 S.W.3d 40 (Tex. App. Houston-14th Dist. 2014). The plaintiff did not seek relief in the form of filing a Motion for Summary Judgment or seeking a trial on the merits of his maintenance and cure claim. </w:t>
      </w:r>
    </w:p>
  </w:footnote>
  <w:footnote w:id="22">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480C51">
        <w:rPr>
          <w:rFonts w:ascii="Times New Roman" w:hAnsi="Times New Roman" w:cs="Times New Roman"/>
          <w:i/>
        </w:rPr>
        <w:t>Id</w:t>
      </w:r>
      <w:r w:rsidRPr="00357EED">
        <w:rPr>
          <w:rFonts w:ascii="Times New Roman" w:hAnsi="Times New Roman" w:cs="Times New Roman"/>
        </w:rPr>
        <w:t xml:space="preserve">. at 42. </w:t>
      </w:r>
    </w:p>
  </w:footnote>
  <w:footnote w:id="2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480C51">
        <w:rPr>
          <w:rFonts w:ascii="Times New Roman" w:hAnsi="Times New Roman" w:cs="Times New Roman"/>
          <w:i/>
        </w:rPr>
        <w:t>Id</w:t>
      </w:r>
      <w:r w:rsidRPr="00357EED">
        <w:rPr>
          <w:rFonts w:ascii="Times New Roman" w:hAnsi="Times New Roman" w:cs="Times New Roman"/>
        </w:rPr>
        <w:t>. at 43-44.</w:t>
      </w:r>
    </w:p>
  </w:footnote>
  <w:footnote w:id="2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480C51">
        <w:rPr>
          <w:rFonts w:ascii="Times New Roman" w:hAnsi="Times New Roman" w:cs="Times New Roman"/>
          <w:i/>
        </w:rPr>
        <w:t>Id</w:t>
      </w:r>
      <w:r w:rsidR="00F16227">
        <w:rPr>
          <w:rFonts w:ascii="Times New Roman" w:hAnsi="Times New Roman" w:cs="Times New Roman"/>
        </w:rPr>
        <w:t>. at 44.</w:t>
      </w:r>
    </w:p>
  </w:footnote>
  <w:footnote w:id="2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480C51">
        <w:rPr>
          <w:rFonts w:ascii="Times New Roman" w:hAnsi="Times New Roman" w:cs="Times New Roman"/>
          <w:i/>
        </w:rPr>
        <w:t>Id</w:t>
      </w:r>
      <w:r w:rsidR="00C337DD">
        <w:rPr>
          <w:rFonts w:ascii="Times New Roman" w:hAnsi="Times New Roman" w:cs="Times New Roman"/>
        </w:rPr>
        <w:t xml:space="preserve">. </w:t>
      </w:r>
      <w:r w:rsidRPr="00357EED">
        <w:rPr>
          <w:rFonts w:ascii="Times New Roman" w:hAnsi="Times New Roman" w:cs="Times New Roman"/>
        </w:rPr>
        <w:t xml:space="preserve">(citing Tex. R. Civ. Pro. 683). </w:t>
      </w:r>
    </w:p>
  </w:footnote>
  <w:footnote w:id="26">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480C51">
        <w:rPr>
          <w:rFonts w:ascii="Times New Roman" w:hAnsi="Times New Roman" w:cs="Times New Roman"/>
          <w:i/>
        </w:rPr>
        <w:t>Id</w:t>
      </w:r>
      <w:r w:rsidRPr="00357EED">
        <w:rPr>
          <w:rFonts w:ascii="Times New Roman" w:hAnsi="Times New Roman" w:cs="Times New Roman"/>
        </w:rPr>
        <w:t>. at 44-45.</w:t>
      </w:r>
    </w:p>
  </w:footnote>
  <w:footnote w:id="27">
    <w:p w:rsidR="005E62A3" w:rsidRPr="00B41E22" w:rsidRDefault="005E62A3">
      <w:pPr>
        <w:pStyle w:val="FootnoteText"/>
        <w:rPr>
          <w:rFonts w:ascii="Times New Roman" w:hAnsi="Times New Roman" w:cs="Times New Roman"/>
        </w:rPr>
      </w:pPr>
      <w:r w:rsidRPr="00B41E22">
        <w:rPr>
          <w:rStyle w:val="FootnoteReference"/>
          <w:rFonts w:ascii="Times New Roman" w:hAnsi="Times New Roman" w:cs="Times New Roman"/>
        </w:rPr>
        <w:footnoteRef/>
      </w:r>
      <w:r w:rsidRPr="00B41E22">
        <w:rPr>
          <w:rFonts w:ascii="Times New Roman" w:hAnsi="Times New Roman" w:cs="Times New Roman"/>
        </w:rPr>
        <w:t xml:space="preserve"> </w:t>
      </w:r>
      <w:r w:rsidRPr="00B41E22">
        <w:rPr>
          <w:rFonts w:ascii="Times New Roman" w:hAnsi="Times New Roman" w:cs="Times New Roman"/>
          <w:i/>
        </w:rPr>
        <w:t>Id.</w:t>
      </w:r>
      <w:r w:rsidRPr="00B41E22">
        <w:rPr>
          <w:rFonts w:ascii="Times New Roman" w:hAnsi="Times New Roman" w:cs="Times New Roman"/>
        </w:rPr>
        <w:t xml:space="preserve"> at 45.</w:t>
      </w:r>
    </w:p>
  </w:footnote>
  <w:footnote w:id="28">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480C51">
        <w:rPr>
          <w:rFonts w:ascii="Times New Roman" w:hAnsi="Times New Roman" w:cs="Times New Roman"/>
          <w:i/>
        </w:rPr>
        <w:t>Id</w:t>
      </w:r>
      <w:r w:rsidRPr="00357EED">
        <w:rPr>
          <w:rFonts w:ascii="Times New Roman" w:hAnsi="Times New Roman" w:cs="Times New Roman"/>
        </w:rPr>
        <w:t xml:space="preserve">. </w:t>
      </w:r>
    </w:p>
  </w:footnote>
  <w:footnote w:id="29">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480C51" w:rsidRPr="00480C51">
        <w:rPr>
          <w:rFonts w:ascii="Times New Roman" w:hAnsi="Times New Roman" w:cs="Times New Roman"/>
          <w:i/>
        </w:rPr>
        <w:t>Bratkowski v. Cal Dive Int'l, Inc.</w:t>
      </w:r>
      <w:r w:rsidR="00480C51" w:rsidRPr="00480C51">
        <w:rPr>
          <w:rFonts w:ascii="Times New Roman" w:hAnsi="Times New Roman" w:cs="Times New Roman"/>
        </w:rPr>
        <w:t xml:space="preserve">, </w:t>
      </w:r>
      <w:r w:rsidRPr="00357EED">
        <w:rPr>
          <w:rFonts w:ascii="Times New Roman" w:hAnsi="Times New Roman" w:cs="Times New Roman"/>
        </w:rPr>
        <w:t>2015 U.S. Dist. LEXIS 51643, at *1-2 (E.D. La. Apr. 20, 2015)</w:t>
      </w:r>
      <w:r w:rsidR="00480C51">
        <w:rPr>
          <w:rFonts w:ascii="Times New Roman" w:hAnsi="Times New Roman" w:cs="Times New Roman"/>
        </w:rPr>
        <w:t>.</w:t>
      </w:r>
    </w:p>
  </w:footnote>
  <w:footnote w:id="30">
    <w:p w:rsidR="00712A74" w:rsidRPr="00357EED" w:rsidRDefault="00712A74" w:rsidP="00294098">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C909CA" w:rsidRPr="00C909CA">
        <w:rPr>
          <w:rFonts w:ascii="Times New Roman" w:hAnsi="Times New Roman" w:cs="Times New Roman"/>
          <w:i/>
        </w:rPr>
        <w:t>Id</w:t>
      </w:r>
      <w:r w:rsidR="00C909CA">
        <w:rPr>
          <w:rFonts w:ascii="Times New Roman" w:hAnsi="Times New Roman" w:cs="Times New Roman"/>
        </w:rPr>
        <w:t>.</w:t>
      </w:r>
      <w:r w:rsidR="00EE56ED">
        <w:rPr>
          <w:rFonts w:ascii="Times New Roman" w:hAnsi="Times New Roman" w:cs="Times New Roman"/>
        </w:rPr>
        <w:t xml:space="preserve"> at</w:t>
      </w:r>
      <w:r w:rsidRPr="00357EED">
        <w:rPr>
          <w:rFonts w:ascii="Times New Roman" w:hAnsi="Times New Roman" w:cs="Times New Roman"/>
        </w:rPr>
        <w:t xml:space="preserve"> *2. </w:t>
      </w:r>
    </w:p>
  </w:footnote>
  <w:footnote w:id="31">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w:t>
      </w:r>
    </w:p>
  </w:footnote>
  <w:footnote w:id="32">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6D4B38" w:rsidRPr="00480C51">
        <w:rPr>
          <w:rFonts w:ascii="Times New Roman" w:hAnsi="Times New Roman" w:cs="Times New Roman"/>
          <w:i/>
        </w:rPr>
        <w:t>Bratkowski</w:t>
      </w:r>
      <w:r w:rsidR="006D4B38" w:rsidRPr="00480C51">
        <w:rPr>
          <w:rFonts w:ascii="Times New Roman" w:hAnsi="Times New Roman" w:cs="Times New Roman"/>
        </w:rPr>
        <w:t xml:space="preserve">, </w:t>
      </w:r>
      <w:r w:rsidR="006D4B38" w:rsidRPr="00357EED">
        <w:rPr>
          <w:rFonts w:ascii="Times New Roman" w:hAnsi="Times New Roman" w:cs="Times New Roman"/>
        </w:rPr>
        <w:t>20</w:t>
      </w:r>
      <w:r w:rsidR="006D4B38">
        <w:rPr>
          <w:rFonts w:ascii="Times New Roman" w:hAnsi="Times New Roman" w:cs="Times New Roman"/>
        </w:rPr>
        <w:t>15 U.S. Dist. LEXIS 51643, at</w:t>
      </w:r>
      <w:r w:rsidR="006D4B38" w:rsidRPr="00357EED">
        <w:rPr>
          <w:rFonts w:ascii="Times New Roman" w:hAnsi="Times New Roman" w:cs="Times New Roman"/>
        </w:rPr>
        <w:t xml:space="preserve"> </w:t>
      </w:r>
      <w:r w:rsidRPr="00357EED">
        <w:rPr>
          <w:rFonts w:ascii="Times New Roman" w:hAnsi="Times New Roman" w:cs="Times New Roman"/>
        </w:rPr>
        <w:t>*2-3.</w:t>
      </w:r>
    </w:p>
  </w:footnote>
  <w:footnote w:id="3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See </w:t>
      </w:r>
      <w:r w:rsidRPr="00357EED">
        <w:rPr>
          <w:rFonts w:ascii="Times New Roman" w:hAnsi="Times New Roman" w:cs="Times New Roman"/>
          <w:i/>
        </w:rPr>
        <w:t>Bratkowski v. Cal Dive Int'l, Inc.</w:t>
      </w:r>
      <w:r w:rsidRPr="00357EED">
        <w:rPr>
          <w:rFonts w:ascii="Times New Roman" w:hAnsi="Times New Roman" w:cs="Times New Roman"/>
        </w:rPr>
        <w:t xml:space="preserve">, civ. no. 2:15-00294, U.S District Court for the Eastern District of Louisiana, Rec. Doc. 18. </w:t>
      </w:r>
    </w:p>
  </w:footnote>
  <w:footnote w:id="3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Bratkowski</w:t>
      </w:r>
      <w:r w:rsidRPr="00357EED">
        <w:rPr>
          <w:rFonts w:ascii="Times New Roman" w:hAnsi="Times New Roman" w:cs="Times New Roman"/>
        </w:rPr>
        <w:t>, 2015 U.S. Dist. LEXIS 51643, at *3.</w:t>
      </w:r>
    </w:p>
  </w:footnote>
  <w:footnote w:id="3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*3-4.</w:t>
      </w:r>
    </w:p>
  </w:footnote>
  <w:footnote w:id="36">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*4. Approximately one month after the district court’s decision, the parties entered into a stipulation in the bankruptcy court regarding lifting the stay. </w:t>
      </w:r>
      <w:r w:rsidRPr="00357EED">
        <w:rPr>
          <w:rFonts w:ascii="Times New Roman" w:hAnsi="Times New Roman" w:cs="Times New Roman"/>
          <w:i/>
        </w:rPr>
        <w:t>In re Cal Dive International, Inc. et al</w:t>
      </w:r>
      <w:r w:rsidRPr="00357EED">
        <w:rPr>
          <w:rFonts w:ascii="Times New Roman" w:hAnsi="Times New Roman" w:cs="Times New Roman"/>
        </w:rPr>
        <w:t>, case no. 15-10458, U.S. Bankruptcy Court for the District of Delaware, Rec. Doc. 395-1.</w:t>
      </w:r>
    </w:p>
  </w:footnote>
  <w:footnote w:id="37">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Bratkowski</w:t>
      </w:r>
      <w:r w:rsidRPr="00357EED">
        <w:rPr>
          <w:rFonts w:ascii="Times New Roman" w:hAnsi="Times New Roman" w:cs="Times New Roman"/>
        </w:rPr>
        <w:t xml:space="preserve">, 2015 U.S. Dist. LEXIS 51643, at *4 fn. 3 (citing </w:t>
      </w:r>
      <w:r w:rsidRPr="00357EED">
        <w:rPr>
          <w:rFonts w:ascii="Times New Roman" w:hAnsi="Times New Roman" w:cs="Times New Roman"/>
          <w:bCs/>
          <w:i/>
        </w:rPr>
        <w:t>Matter of Sea Ray Marine Services, Inc.</w:t>
      </w:r>
      <w:r w:rsidRPr="00357EED">
        <w:rPr>
          <w:rFonts w:ascii="Times New Roman" w:hAnsi="Times New Roman" w:cs="Times New Roman"/>
          <w:bCs/>
        </w:rPr>
        <w:t>, 105 B.R. 12, 13 (Bankr. E.D. La. 1989)</w:t>
      </w:r>
      <w:r w:rsidRPr="00357EED">
        <w:rPr>
          <w:rFonts w:ascii="Times New Roman" w:hAnsi="Times New Roman" w:cs="Times New Roman"/>
        </w:rPr>
        <w:t>.</w:t>
      </w:r>
    </w:p>
  </w:footnote>
  <w:footnote w:id="38">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Bratkowski v. Aspen Ins. UK, Ltd.</w:t>
      </w:r>
      <w:r w:rsidRPr="00357EED">
        <w:rPr>
          <w:rFonts w:ascii="Times New Roman" w:hAnsi="Times New Roman" w:cs="Times New Roman"/>
        </w:rPr>
        <w:t>, 2015 U.S. Dist. LEXIS 78536, at *1, 2015 AMC 1567 (E.D. La. Jun. 17, 2015). See also Louisiana’s Direct Action statute. La. R.S. § 22:1269.</w:t>
      </w:r>
    </w:p>
  </w:footnote>
  <w:footnote w:id="39">
    <w:p w:rsidR="00712A74" w:rsidRPr="00357EED" w:rsidRDefault="00712A74" w:rsidP="00454BE3">
      <w:pPr>
        <w:pStyle w:val="FootnoteText"/>
        <w:tabs>
          <w:tab w:val="center" w:pos="4680"/>
        </w:tabs>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Bratkowski</w:t>
      </w:r>
      <w:r w:rsidRPr="00357EED">
        <w:rPr>
          <w:rFonts w:ascii="Times New Roman" w:hAnsi="Times New Roman" w:cs="Times New Roman"/>
        </w:rPr>
        <w:t>,</w:t>
      </w:r>
      <w:r w:rsidRPr="00357EED">
        <w:rPr>
          <w:rFonts w:ascii="Times New Roman" w:hAnsi="Times New Roman" w:cs="Times New Roman"/>
          <w:i/>
        </w:rPr>
        <w:t xml:space="preserve"> </w:t>
      </w:r>
      <w:r w:rsidRPr="00357EED">
        <w:rPr>
          <w:rFonts w:ascii="Times New Roman" w:hAnsi="Times New Roman" w:cs="Times New Roman"/>
        </w:rPr>
        <w:t>2015 U.S. Dist. LEXIS 78536, at *</w:t>
      </w:r>
      <w:r w:rsidR="00C573CC">
        <w:rPr>
          <w:rFonts w:ascii="Times New Roman" w:hAnsi="Times New Roman" w:cs="Times New Roman"/>
        </w:rPr>
        <w:t>3</w:t>
      </w:r>
      <w:r w:rsidR="00454BE3">
        <w:rPr>
          <w:rFonts w:ascii="Times New Roman" w:hAnsi="Times New Roman" w:cs="Times New Roman"/>
        </w:rPr>
        <w:t>.</w:t>
      </w:r>
      <w:r w:rsidR="00454BE3">
        <w:rPr>
          <w:rFonts w:ascii="Times New Roman" w:hAnsi="Times New Roman" w:cs="Times New Roman"/>
        </w:rPr>
        <w:tab/>
      </w:r>
    </w:p>
  </w:footnote>
  <w:footnote w:id="40">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*5-6.</w:t>
      </w:r>
    </w:p>
  </w:footnote>
  <w:footnote w:id="41">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03363D" w:rsidRPr="00357EED">
        <w:rPr>
          <w:rFonts w:ascii="Times New Roman" w:hAnsi="Times New Roman" w:cs="Times New Roman"/>
          <w:i/>
        </w:rPr>
        <w:t>Bratkowski</w:t>
      </w:r>
      <w:r w:rsidR="0003363D" w:rsidRPr="00357EED">
        <w:rPr>
          <w:rFonts w:ascii="Times New Roman" w:hAnsi="Times New Roman" w:cs="Times New Roman"/>
        </w:rPr>
        <w:t>,</w:t>
      </w:r>
      <w:r w:rsidR="0003363D" w:rsidRPr="00357EED">
        <w:rPr>
          <w:rFonts w:ascii="Times New Roman" w:hAnsi="Times New Roman" w:cs="Times New Roman"/>
          <w:i/>
        </w:rPr>
        <w:t xml:space="preserve"> </w:t>
      </w:r>
      <w:r w:rsidR="0003363D" w:rsidRPr="00357EED">
        <w:rPr>
          <w:rFonts w:ascii="Times New Roman" w:hAnsi="Times New Roman" w:cs="Times New Roman"/>
        </w:rPr>
        <w:t xml:space="preserve">2015 U.S. Dist. LEXIS 78536, at </w:t>
      </w:r>
      <w:r w:rsidRPr="00357EED">
        <w:rPr>
          <w:rFonts w:ascii="Times New Roman" w:hAnsi="Times New Roman" w:cs="Times New Roman"/>
        </w:rPr>
        <w:t xml:space="preserve">*6 (citing </w:t>
      </w:r>
      <w:r w:rsidRPr="00357EED">
        <w:rPr>
          <w:rStyle w:val="ssun"/>
          <w:rFonts w:ascii="Times New Roman" w:hAnsi="Times New Roman" w:cs="Times New Roman"/>
          <w:i/>
        </w:rPr>
        <w:t>Grubbs v. Gulf International Marine Inc.</w:t>
      </w:r>
      <w:r w:rsidRPr="00357EED">
        <w:rPr>
          <w:rStyle w:val="ssrfcpassagedeactivated"/>
          <w:rFonts w:ascii="Times New Roman" w:hAnsi="Times New Roman" w:cs="Times New Roman"/>
        </w:rPr>
        <w:t xml:space="preserve">, 13 F.3d 168, 170 (5th Cir. 1994)). </w:t>
      </w:r>
    </w:p>
  </w:footnote>
  <w:footnote w:id="42">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p>
  </w:footnote>
  <w:footnote w:id="4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*6-7. </w:t>
      </w:r>
    </w:p>
  </w:footnote>
  <w:footnote w:id="4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In re Weeks Marine, Inc.</w:t>
      </w:r>
      <w:r w:rsidRPr="00357EED">
        <w:rPr>
          <w:rFonts w:ascii="Times New Roman" w:hAnsi="Times New Roman" w:cs="Times New Roman"/>
        </w:rPr>
        <w:t>, 2015 U.S. Dist. LEXIS 8489, *3, 2015 AMC 507 (M.D. La. 2015)</w:t>
      </w:r>
      <w:r w:rsidR="00EA74EF">
        <w:rPr>
          <w:rFonts w:ascii="Times New Roman" w:hAnsi="Times New Roman" w:cs="Times New Roman"/>
        </w:rPr>
        <w:t>.</w:t>
      </w:r>
    </w:p>
  </w:footnote>
  <w:footnote w:id="4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A74EF">
        <w:rPr>
          <w:rFonts w:ascii="Times New Roman" w:hAnsi="Times New Roman" w:cs="Times New Roman"/>
          <w:i/>
        </w:rPr>
        <w:t>Id</w:t>
      </w:r>
      <w:r w:rsidRPr="00357EED">
        <w:rPr>
          <w:rFonts w:ascii="Times New Roman" w:hAnsi="Times New Roman" w:cs="Times New Roman"/>
        </w:rPr>
        <w:t xml:space="preserve">.. </w:t>
      </w:r>
    </w:p>
  </w:footnote>
  <w:footnote w:id="46">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A74EF">
        <w:rPr>
          <w:rFonts w:ascii="Times New Roman" w:hAnsi="Times New Roman" w:cs="Times New Roman"/>
          <w:i/>
        </w:rPr>
        <w:t>Id</w:t>
      </w:r>
      <w:r w:rsidRPr="00357EED">
        <w:rPr>
          <w:rFonts w:ascii="Times New Roman" w:hAnsi="Times New Roman" w:cs="Times New Roman"/>
        </w:rPr>
        <w:t xml:space="preserve">. </w:t>
      </w:r>
    </w:p>
  </w:footnote>
  <w:footnote w:id="47">
    <w:p w:rsidR="00C573CC" w:rsidRPr="00357EED" w:rsidRDefault="00C573CC" w:rsidP="00C573CC">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A74EF">
        <w:rPr>
          <w:rFonts w:ascii="Times New Roman" w:hAnsi="Times New Roman" w:cs="Times New Roman"/>
          <w:i/>
        </w:rPr>
        <w:t>Id</w:t>
      </w:r>
      <w:r w:rsidRPr="00357EED">
        <w:rPr>
          <w:rFonts w:ascii="Times New Roman" w:hAnsi="Times New Roman" w:cs="Times New Roman"/>
        </w:rPr>
        <w:t xml:space="preserve">. </w:t>
      </w:r>
    </w:p>
  </w:footnote>
  <w:footnote w:id="48">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*16. </w:t>
      </w:r>
    </w:p>
  </w:footnote>
  <w:footnote w:id="49">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*5, 18 (citing </w:t>
      </w:r>
      <w:r w:rsidRPr="00357EED">
        <w:rPr>
          <w:rStyle w:val="ssit"/>
          <w:rFonts w:ascii="Times New Roman" w:hAnsi="Times New Roman" w:cs="Times New Roman"/>
          <w:i/>
        </w:rPr>
        <w:t>Hall v. Diamond M. Co</w:t>
      </w:r>
      <w:r w:rsidRPr="00357EED">
        <w:rPr>
          <w:rFonts w:ascii="Times New Roman" w:hAnsi="Times New Roman" w:cs="Times New Roman"/>
        </w:rPr>
        <w:t xml:space="preserve">., 732 F.2d 1246, 1249 (5th Cir. 1984); </w:t>
      </w:r>
      <w:r w:rsidRPr="00357EED">
        <w:rPr>
          <w:rStyle w:val="ssit"/>
          <w:rFonts w:ascii="Times New Roman" w:hAnsi="Times New Roman" w:cs="Times New Roman"/>
          <w:i/>
        </w:rPr>
        <w:t>Baker v. Raymond International</w:t>
      </w:r>
      <w:r w:rsidRPr="00357EED">
        <w:rPr>
          <w:rFonts w:ascii="Times New Roman" w:hAnsi="Times New Roman" w:cs="Times New Roman"/>
        </w:rPr>
        <w:t>, 656 F.2d 173, 178 (5th Cir. 1981)</w:t>
      </w:r>
      <w:r w:rsidR="0096111B">
        <w:rPr>
          <w:rFonts w:ascii="Times New Roman" w:hAnsi="Times New Roman" w:cs="Times New Roman"/>
        </w:rPr>
        <w:t>)</w:t>
      </w:r>
      <w:r w:rsidRPr="00357EED">
        <w:rPr>
          <w:rFonts w:ascii="Times New Roman" w:hAnsi="Times New Roman" w:cs="Times New Roman"/>
        </w:rPr>
        <w:t xml:space="preserve">. </w:t>
      </w:r>
    </w:p>
  </w:footnote>
  <w:footnote w:id="50">
    <w:p w:rsidR="00712A74" w:rsidRPr="00357EED" w:rsidRDefault="00712A74" w:rsidP="00565989">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Hedges v. Foss Mar. Co.</w:t>
      </w:r>
      <w:r w:rsidRPr="00357EED">
        <w:rPr>
          <w:rFonts w:ascii="Times New Roman" w:hAnsi="Times New Roman" w:cs="Times New Roman"/>
        </w:rPr>
        <w:t>, 2015 U.S. Dist. LEXIS 10510, *1-2 (W.D. Wash. Jan. 29, 2015).</w:t>
      </w:r>
    </w:p>
  </w:footnote>
  <w:footnote w:id="51">
    <w:p w:rsidR="00712A74" w:rsidRPr="00357EED" w:rsidRDefault="00712A74" w:rsidP="00565989">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C82D88" w:rsidRPr="00357EED">
        <w:rPr>
          <w:rFonts w:ascii="Times New Roman" w:hAnsi="Times New Roman" w:cs="Times New Roman"/>
          <w:i/>
        </w:rPr>
        <w:t>Hedges</w:t>
      </w:r>
      <w:r w:rsidR="00C82D88" w:rsidRPr="00357EED">
        <w:rPr>
          <w:rFonts w:ascii="Times New Roman" w:hAnsi="Times New Roman" w:cs="Times New Roman"/>
        </w:rPr>
        <w:t xml:space="preserve">, 2015 U.S. Dist. LEXIS 10510, </w:t>
      </w:r>
      <w:r w:rsidR="00C82D88">
        <w:rPr>
          <w:rFonts w:ascii="Times New Roman" w:hAnsi="Times New Roman" w:cs="Times New Roman"/>
        </w:rPr>
        <w:t xml:space="preserve">at </w:t>
      </w:r>
      <w:r w:rsidR="00C82D88" w:rsidRPr="00357EED">
        <w:rPr>
          <w:rFonts w:ascii="Times New Roman" w:hAnsi="Times New Roman" w:cs="Times New Roman"/>
        </w:rPr>
        <w:t>*1-2</w:t>
      </w:r>
      <w:r w:rsidR="00C82D88">
        <w:rPr>
          <w:rFonts w:ascii="Times New Roman" w:hAnsi="Times New Roman" w:cs="Times New Roman"/>
        </w:rPr>
        <w:t xml:space="preserve">. </w:t>
      </w:r>
    </w:p>
  </w:footnote>
  <w:footnote w:id="52">
    <w:p w:rsidR="00C573CC" w:rsidRPr="00B41E22" w:rsidRDefault="00C573CC">
      <w:pPr>
        <w:pStyle w:val="FootnoteText"/>
        <w:rPr>
          <w:rFonts w:ascii="Times New Roman" w:hAnsi="Times New Roman" w:cs="Times New Roman"/>
          <w:i/>
        </w:rPr>
      </w:pPr>
      <w:r w:rsidRPr="00B41E22">
        <w:rPr>
          <w:rStyle w:val="FootnoteReference"/>
          <w:rFonts w:ascii="Times New Roman" w:hAnsi="Times New Roman" w:cs="Times New Roman"/>
        </w:rPr>
        <w:footnoteRef/>
      </w:r>
      <w:r w:rsidRPr="00B41E22">
        <w:rPr>
          <w:rFonts w:ascii="Times New Roman" w:hAnsi="Times New Roman" w:cs="Times New Roman"/>
        </w:rPr>
        <w:t xml:space="preserve"> </w:t>
      </w:r>
      <w:r w:rsidRPr="00B41E22">
        <w:rPr>
          <w:rFonts w:ascii="Times New Roman" w:hAnsi="Times New Roman" w:cs="Times New Roman"/>
          <w:i/>
        </w:rPr>
        <w:t>Id.</w:t>
      </w:r>
    </w:p>
  </w:footnote>
  <w:footnote w:id="5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*2. </w:t>
      </w:r>
    </w:p>
  </w:footnote>
  <w:footnote w:id="5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*3. </w:t>
      </w:r>
    </w:p>
  </w:footnote>
  <w:footnote w:id="5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*3-4. </w:t>
      </w:r>
    </w:p>
  </w:footnote>
  <w:footnote w:id="56">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sidR="00C573CC">
        <w:rPr>
          <w:rFonts w:ascii="Times New Roman" w:hAnsi="Times New Roman" w:cs="Times New Roman"/>
        </w:rPr>
        <w:t>7</w:t>
      </w:r>
      <w:r w:rsidRPr="00357EED">
        <w:rPr>
          <w:rFonts w:ascii="Times New Roman" w:hAnsi="Times New Roman" w:cs="Times New Roman"/>
        </w:rPr>
        <w:t xml:space="preserve">. </w:t>
      </w:r>
    </w:p>
  </w:footnote>
  <w:footnote w:id="57">
    <w:p w:rsidR="00C573CC" w:rsidRPr="00357EED" w:rsidRDefault="00C573CC" w:rsidP="00C573CC">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Pr>
          <w:rFonts w:ascii="Times New Roman" w:hAnsi="Times New Roman" w:cs="Times New Roman"/>
        </w:rPr>
        <w:t>7-8</w:t>
      </w:r>
      <w:r w:rsidRPr="00357EED">
        <w:rPr>
          <w:rFonts w:ascii="Times New Roman" w:hAnsi="Times New Roman" w:cs="Times New Roman"/>
        </w:rPr>
        <w:t xml:space="preserve">. </w:t>
      </w:r>
    </w:p>
  </w:footnote>
  <w:footnote w:id="58">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Meche v. Doucet</w:t>
      </w:r>
      <w:r w:rsidRPr="00357EED">
        <w:rPr>
          <w:rFonts w:ascii="Times New Roman" w:hAnsi="Times New Roman" w:cs="Times New Roman"/>
        </w:rPr>
        <w:t xml:space="preserve">, 777 F.3d 237, 244 (5th Cir. 2015) (citing </w:t>
      </w:r>
      <w:r w:rsidRPr="00357EED">
        <w:rPr>
          <w:rFonts w:ascii="Times New Roman" w:hAnsi="Times New Roman" w:cs="Times New Roman"/>
          <w:i/>
        </w:rPr>
        <w:t>McCorpen v. Central Gulf S.S. Corp.</w:t>
      </w:r>
      <w:r w:rsidRPr="00357EED">
        <w:rPr>
          <w:rFonts w:ascii="Times New Roman" w:hAnsi="Times New Roman" w:cs="Times New Roman"/>
        </w:rPr>
        <w:t>, 396 F.2d 547, 548 (5th Cir. 1968)</w:t>
      </w:r>
      <w:r w:rsidR="00946DED">
        <w:rPr>
          <w:rFonts w:ascii="Times New Roman" w:hAnsi="Times New Roman" w:cs="Times New Roman"/>
        </w:rPr>
        <w:t>)</w:t>
      </w:r>
      <w:r w:rsidRPr="00357EED">
        <w:rPr>
          <w:rFonts w:ascii="Times New Roman" w:hAnsi="Times New Roman" w:cs="Times New Roman"/>
        </w:rPr>
        <w:t xml:space="preserve">. </w:t>
      </w:r>
    </w:p>
  </w:footnote>
  <w:footnote w:id="59">
    <w:p w:rsidR="00712A74" w:rsidRPr="00357EED" w:rsidRDefault="00712A74" w:rsidP="00167948">
      <w:pPr>
        <w:spacing w:after="0"/>
        <w:rPr>
          <w:rFonts w:ascii="Times New Roman" w:eastAsia="Times New Roman" w:hAnsi="Times New Roman" w:cs="Times New Roman"/>
          <w:sz w:val="20"/>
          <w:szCs w:val="20"/>
        </w:rPr>
      </w:pPr>
      <w:r w:rsidRPr="00357EED">
        <w:rPr>
          <w:rStyle w:val="FootnoteReference"/>
          <w:rFonts w:ascii="Times New Roman" w:hAnsi="Times New Roman" w:cs="Times New Roman"/>
          <w:sz w:val="20"/>
          <w:szCs w:val="20"/>
        </w:rPr>
        <w:footnoteRef/>
      </w:r>
      <w:r w:rsidRPr="00357EED">
        <w:rPr>
          <w:rFonts w:ascii="Times New Roman" w:hAnsi="Times New Roman" w:cs="Times New Roman"/>
          <w:sz w:val="20"/>
          <w:szCs w:val="20"/>
        </w:rPr>
        <w:t xml:space="preserve"> </w:t>
      </w:r>
      <w:r w:rsidRPr="00357EED">
        <w:rPr>
          <w:rFonts w:ascii="Times New Roman" w:hAnsi="Times New Roman" w:cs="Times New Roman"/>
          <w:i/>
          <w:sz w:val="20"/>
          <w:szCs w:val="20"/>
        </w:rPr>
        <w:t>Id</w:t>
      </w:r>
      <w:r w:rsidRPr="00357EED">
        <w:rPr>
          <w:rFonts w:ascii="Times New Roman" w:hAnsi="Times New Roman" w:cs="Times New Roman"/>
          <w:sz w:val="20"/>
          <w:szCs w:val="20"/>
        </w:rPr>
        <w:t xml:space="preserve">. at 244-45 (citing </w:t>
      </w:r>
      <w:r w:rsidRPr="00357EED">
        <w:rPr>
          <w:rFonts w:ascii="Times New Roman" w:hAnsi="Times New Roman" w:cs="Times New Roman"/>
          <w:i/>
          <w:sz w:val="20"/>
          <w:szCs w:val="20"/>
        </w:rPr>
        <w:t>Brown v. Parker Drilling Offshore Corp.</w:t>
      </w:r>
      <w:r w:rsidRPr="00357EED">
        <w:rPr>
          <w:rFonts w:ascii="Times New Roman" w:hAnsi="Times New Roman" w:cs="Times New Roman"/>
          <w:sz w:val="20"/>
          <w:szCs w:val="20"/>
        </w:rPr>
        <w:t xml:space="preserve">, 410 F.3d 166, 171 (5th Cir. 2005)). </w:t>
      </w:r>
    </w:p>
  </w:footnote>
  <w:footnote w:id="60">
    <w:p w:rsidR="00751520" w:rsidRDefault="00751520">
      <w:pPr>
        <w:pStyle w:val="FootnoteText"/>
      </w:pPr>
      <w:r>
        <w:rPr>
          <w:rStyle w:val="FootnoteReference"/>
        </w:rPr>
        <w:footnoteRef/>
      </w:r>
      <w:r>
        <w:t xml:space="preserve"> </w:t>
      </w:r>
      <w:r w:rsidRPr="00357EED">
        <w:rPr>
          <w:rFonts w:ascii="Times New Roman" w:hAnsi="Times New Roman" w:cs="Times New Roman"/>
          <w:i/>
        </w:rPr>
        <w:t>Id</w:t>
      </w:r>
      <w:r w:rsidRPr="00357EED">
        <w:rPr>
          <w:rFonts w:ascii="Times New Roman" w:hAnsi="Times New Roman" w:cs="Times New Roman"/>
        </w:rPr>
        <w:t>. at 24</w:t>
      </w:r>
      <w:r>
        <w:rPr>
          <w:rFonts w:ascii="Times New Roman" w:hAnsi="Times New Roman" w:cs="Times New Roman"/>
        </w:rPr>
        <w:t>9</w:t>
      </w:r>
    </w:p>
  </w:footnote>
  <w:footnote w:id="61">
    <w:p w:rsidR="00712A74" w:rsidRPr="00357EED" w:rsidRDefault="00712A74" w:rsidP="00167948">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241. </w:t>
      </w:r>
    </w:p>
  </w:footnote>
  <w:footnote w:id="62">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7F32F2">
        <w:rPr>
          <w:rFonts w:ascii="Times New Roman" w:hAnsi="Times New Roman" w:cs="Times New Roman"/>
          <w:i/>
        </w:rPr>
        <w:t>Meche</w:t>
      </w:r>
      <w:r w:rsidR="007F32F2">
        <w:rPr>
          <w:rFonts w:ascii="Times New Roman" w:hAnsi="Times New Roman" w:cs="Times New Roman"/>
        </w:rPr>
        <w:t xml:space="preserve">, 777 F.3d </w:t>
      </w:r>
      <w:r w:rsidRPr="00357EED">
        <w:rPr>
          <w:rFonts w:ascii="Times New Roman" w:hAnsi="Times New Roman" w:cs="Times New Roman"/>
        </w:rPr>
        <w:t xml:space="preserve">at 246. </w:t>
      </w:r>
    </w:p>
  </w:footnote>
  <w:footnote w:id="63">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p>
  </w:footnote>
  <w:footnote w:id="64">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247-48. </w:t>
      </w:r>
    </w:p>
  </w:footnote>
  <w:footnote w:id="65">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r w:rsidR="00751520">
        <w:rPr>
          <w:rFonts w:ascii="Times New Roman" w:hAnsi="Times New Roman" w:cs="Times New Roman"/>
        </w:rPr>
        <w:t>at 248.</w:t>
      </w:r>
    </w:p>
  </w:footnote>
  <w:footnote w:id="66">
    <w:p w:rsidR="00712A74" w:rsidRPr="00357EED" w:rsidRDefault="00712A74" w:rsidP="006F5DEC">
      <w:pPr>
        <w:spacing w:after="0" w:line="240" w:lineRule="auto"/>
        <w:rPr>
          <w:rFonts w:ascii="Times New Roman" w:hAnsi="Times New Roman" w:cs="Times New Roman"/>
          <w:sz w:val="20"/>
          <w:szCs w:val="20"/>
        </w:rPr>
      </w:pPr>
      <w:r w:rsidRPr="00357EED">
        <w:rPr>
          <w:rStyle w:val="FootnoteReference"/>
          <w:rFonts w:ascii="Times New Roman" w:hAnsi="Times New Roman" w:cs="Times New Roman"/>
          <w:sz w:val="20"/>
          <w:szCs w:val="20"/>
        </w:rPr>
        <w:footnoteRef/>
      </w:r>
      <w:r w:rsidRPr="00357EED">
        <w:rPr>
          <w:rFonts w:ascii="Times New Roman" w:hAnsi="Times New Roman" w:cs="Times New Roman"/>
          <w:sz w:val="20"/>
          <w:szCs w:val="20"/>
        </w:rPr>
        <w:t xml:space="preserve"> </w:t>
      </w:r>
      <w:r w:rsidRPr="00357EED">
        <w:rPr>
          <w:rFonts w:ascii="Times New Roman" w:hAnsi="Times New Roman" w:cs="Times New Roman"/>
          <w:i/>
          <w:sz w:val="20"/>
          <w:szCs w:val="20"/>
        </w:rPr>
        <w:t>Bosarge v. Cheramie Marine LLC</w:t>
      </w:r>
      <w:r w:rsidRPr="00357EED">
        <w:rPr>
          <w:rFonts w:ascii="Times New Roman" w:hAnsi="Times New Roman" w:cs="Times New Roman"/>
          <w:sz w:val="20"/>
          <w:szCs w:val="20"/>
        </w:rPr>
        <w:t>, 2015 U.S. Dist. LEXIS 10176</w:t>
      </w:r>
      <w:r w:rsidR="00751520">
        <w:rPr>
          <w:rFonts w:ascii="Times New Roman" w:hAnsi="Times New Roman" w:cs="Times New Roman"/>
          <w:sz w:val="20"/>
          <w:szCs w:val="20"/>
        </w:rPr>
        <w:t>8</w:t>
      </w:r>
      <w:r w:rsidRPr="00357EED">
        <w:rPr>
          <w:rFonts w:ascii="Times New Roman" w:hAnsi="Times New Roman" w:cs="Times New Roman"/>
          <w:sz w:val="20"/>
          <w:szCs w:val="20"/>
        </w:rPr>
        <w:t>, at *7 (E.D. La. Aug. 4, 2015)</w:t>
      </w:r>
      <w:r w:rsidR="00F944F9">
        <w:rPr>
          <w:rFonts w:ascii="Times New Roman" w:hAnsi="Times New Roman" w:cs="Times New Roman"/>
          <w:sz w:val="20"/>
          <w:szCs w:val="20"/>
        </w:rPr>
        <w:t>.</w:t>
      </w:r>
    </w:p>
  </w:footnote>
  <w:footnote w:id="67">
    <w:p w:rsidR="00751520" w:rsidRPr="00357EED" w:rsidRDefault="00751520" w:rsidP="00751520">
      <w:pPr>
        <w:spacing w:after="0" w:line="240" w:lineRule="auto"/>
        <w:rPr>
          <w:rFonts w:ascii="Times New Roman" w:hAnsi="Times New Roman" w:cs="Times New Roman"/>
          <w:sz w:val="20"/>
          <w:szCs w:val="20"/>
        </w:rPr>
      </w:pPr>
      <w:r w:rsidRPr="00357EED">
        <w:rPr>
          <w:rStyle w:val="FootnoteReference"/>
          <w:rFonts w:ascii="Times New Roman" w:hAnsi="Times New Roman" w:cs="Times New Roman"/>
          <w:sz w:val="20"/>
          <w:szCs w:val="20"/>
        </w:rPr>
        <w:footnoteRef/>
      </w:r>
      <w:r w:rsidRPr="00357EED">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*7.</w:t>
      </w:r>
    </w:p>
  </w:footnote>
  <w:footnote w:id="68">
    <w:p w:rsidR="00712A74" w:rsidRPr="00357EED" w:rsidRDefault="00712A74" w:rsidP="006F5DEC">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w:t>
      </w:r>
    </w:p>
  </w:footnote>
  <w:footnote w:id="69">
    <w:p w:rsidR="00712A74" w:rsidRPr="00357EED" w:rsidRDefault="00712A74">
      <w:pPr>
        <w:pStyle w:val="FootnoteText"/>
        <w:rPr>
          <w:rFonts w:ascii="Times New Roman" w:hAnsi="Times New Roman" w:cs="Times New Roman"/>
        </w:rPr>
      </w:pPr>
      <w:r w:rsidRPr="00357EED">
        <w:rPr>
          <w:rStyle w:val="FootnoteReference"/>
          <w:rFonts w:ascii="Times New Roman" w:hAnsi="Times New Roman" w:cs="Times New Roman"/>
        </w:rPr>
        <w:footnoteRef/>
      </w:r>
      <w:r w:rsidR="00935DDC" w:rsidRPr="00357EED">
        <w:rPr>
          <w:rFonts w:ascii="Times New Roman" w:hAnsi="Times New Roman" w:cs="Times New Roman"/>
        </w:rPr>
        <w:t xml:space="preserve"> </w:t>
      </w:r>
      <w:r w:rsidR="00935DDC" w:rsidRPr="00B41E22">
        <w:rPr>
          <w:rFonts w:ascii="Times New Roman" w:hAnsi="Times New Roman" w:cs="Times New Roman"/>
          <w:i/>
        </w:rPr>
        <w:t xml:space="preserve">Id. </w:t>
      </w:r>
      <w:r w:rsidR="00935DDC" w:rsidRPr="00357EED">
        <w:rPr>
          <w:rFonts w:ascii="Times New Roman" w:hAnsi="Times New Roman" w:cs="Times New Roman"/>
        </w:rPr>
        <w:t xml:space="preserve">at *9 (emphasis added). </w:t>
      </w:r>
    </w:p>
  </w:footnote>
  <w:footnote w:id="70">
    <w:p w:rsidR="00C24D7B" w:rsidRPr="00357EED" w:rsidRDefault="00C24D7B">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*9-10.</w:t>
      </w:r>
    </w:p>
  </w:footnote>
  <w:footnote w:id="71">
    <w:p w:rsidR="00141014" w:rsidRPr="00357EED" w:rsidRDefault="0014101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Foret v. St. June, LLC</w:t>
      </w:r>
      <w:r w:rsidRPr="00357EED">
        <w:rPr>
          <w:rFonts w:ascii="Times New Roman" w:hAnsi="Times New Roman" w:cs="Times New Roman"/>
        </w:rPr>
        <w:t xml:space="preserve">, 2014 U.S. Dist. LEXIS 127317, at *8-9 (E.D. La. Sept. 11, 2014). </w:t>
      </w:r>
    </w:p>
  </w:footnote>
  <w:footnote w:id="72">
    <w:p w:rsidR="00751520" w:rsidRPr="00357EED" w:rsidRDefault="00751520" w:rsidP="00751520">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Pr>
          <w:rFonts w:ascii="Times New Roman" w:hAnsi="Times New Roman" w:cs="Times New Roman"/>
        </w:rPr>
        <w:t xml:space="preserve"> at *10.</w:t>
      </w:r>
      <w:r w:rsidRPr="00357EED">
        <w:rPr>
          <w:rFonts w:ascii="Times New Roman" w:hAnsi="Times New Roman" w:cs="Times New Roman"/>
        </w:rPr>
        <w:t xml:space="preserve"> </w:t>
      </w:r>
    </w:p>
  </w:footnote>
  <w:footnote w:id="73">
    <w:p w:rsidR="00141014" w:rsidRPr="00357EED" w:rsidRDefault="0014101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9C7122">
        <w:rPr>
          <w:rFonts w:ascii="Times New Roman" w:hAnsi="Times New Roman" w:cs="Times New Roman"/>
          <w:i/>
        </w:rPr>
        <w:t>Foret</w:t>
      </w:r>
      <w:r w:rsidR="009C7122" w:rsidRPr="00357EED">
        <w:rPr>
          <w:rFonts w:ascii="Times New Roman" w:hAnsi="Times New Roman" w:cs="Times New Roman"/>
        </w:rPr>
        <w:t>, 2014 U.S. Dist. LEXIS 127317, at</w:t>
      </w:r>
      <w:r w:rsidR="009C7122">
        <w:rPr>
          <w:rFonts w:ascii="Times New Roman" w:hAnsi="Times New Roman" w:cs="Times New Roman"/>
        </w:rPr>
        <w:t xml:space="preserve"> *10.</w:t>
      </w:r>
    </w:p>
  </w:footnote>
  <w:footnote w:id="74">
    <w:p w:rsidR="00141014" w:rsidRPr="00DA7C66" w:rsidRDefault="0014101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 xml:space="preserve">Id. </w:t>
      </w:r>
      <w:r w:rsidR="00DA7C66">
        <w:rPr>
          <w:rFonts w:ascii="Times New Roman" w:hAnsi="Times New Roman" w:cs="Times New Roman"/>
        </w:rPr>
        <w:t>at *10-11.</w:t>
      </w:r>
    </w:p>
  </w:footnote>
  <w:footnote w:id="75">
    <w:p w:rsidR="00D57278" w:rsidRPr="00357EED" w:rsidRDefault="00D57278">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*11. </w:t>
      </w:r>
      <w:r w:rsidR="000A6285" w:rsidRPr="00357EED">
        <w:rPr>
          <w:rFonts w:ascii="Times New Roman" w:hAnsi="Times New Roman" w:cs="Times New Roman"/>
        </w:rPr>
        <w:t xml:space="preserve">The second and third prongs </w:t>
      </w:r>
      <w:r w:rsidR="001747A1">
        <w:rPr>
          <w:rFonts w:ascii="Times New Roman" w:hAnsi="Times New Roman" w:cs="Times New Roman"/>
        </w:rPr>
        <w:t xml:space="preserve">of the </w:t>
      </w:r>
      <w:r w:rsidR="001747A1" w:rsidRPr="001747A1">
        <w:rPr>
          <w:rFonts w:ascii="Times New Roman" w:hAnsi="Times New Roman" w:cs="Times New Roman"/>
          <w:i/>
        </w:rPr>
        <w:t>McCorpen</w:t>
      </w:r>
      <w:r w:rsidR="001747A1">
        <w:rPr>
          <w:rFonts w:ascii="Times New Roman" w:hAnsi="Times New Roman" w:cs="Times New Roman"/>
        </w:rPr>
        <w:t xml:space="preserve"> defense </w:t>
      </w:r>
      <w:r w:rsidR="000A6285" w:rsidRPr="001747A1">
        <w:rPr>
          <w:rFonts w:ascii="Times New Roman" w:hAnsi="Times New Roman" w:cs="Times New Roman"/>
        </w:rPr>
        <w:t>were</w:t>
      </w:r>
      <w:r w:rsidR="000A6285" w:rsidRPr="00357EED">
        <w:rPr>
          <w:rFonts w:ascii="Times New Roman" w:hAnsi="Times New Roman" w:cs="Times New Roman"/>
        </w:rPr>
        <w:t xml:space="preserve"> also satisfied. </w:t>
      </w:r>
    </w:p>
  </w:footnote>
  <w:footnote w:id="76">
    <w:p w:rsidR="00286393" w:rsidRPr="00357EED" w:rsidRDefault="00286393">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Campbell v. Offshore Liftboats, LLC</w:t>
      </w:r>
      <w:r w:rsidRPr="00357EED">
        <w:rPr>
          <w:rFonts w:ascii="Times New Roman" w:hAnsi="Times New Roman" w:cs="Times New Roman"/>
        </w:rPr>
        <w:t>, 2015 U.S. Dist. LEXIS 3498</w:t>
      </w:r>
      <w:r w:rsidR="001D435E" w:rsidRPr="00357EED">
        <w:rPr>
          <w:rFonts w:ascii="Times New Roman" w:hAnsi="Times New Roman" w:cs="Times New Roman"/>
        </w:rPr>
        <w:t>1, 2015 AMC 1075 (E.D. La. Mar.</w:t>
      </w:r>
      <w:r w:rsidRPr="00357EED">
        <w:rPr>
          <w:rFonts w:ascii="Times New Roman" w:hAnsi="Times New Roman" w:cs="Times New Roman"/>
        </w:rPr>
        <w:t xml:space="preserve"> 20, 2015). </w:t>
      </w:r>
    </w:p>
  </w:footnote>
  <w:footnote w:id="77">
    <w:p w:rsidR="00DA7C66" w:rsidRPr="00B41E22" w:rsidRDefault="00DA7C66">
      <w:pPr>
        <w:pStyle w:val="FootnoteText"/>
        <w:rPr>
          <w:rFonts w:ascii="Times New Roman" w:hAnsi="Times New Roman" w:cs="Times New Roman"/>
        </w:rPr>
      </w:pPr>
      <w:r w:rsidRPr="00B41E22">
        <w:rPr>
          <w:rStyle w:val="FootnoteReference"/>
          <w:rFonts w:ascii="Times New Roman" w:hAnsi="Times New Roman" w:cs="Times New Roman"/>
        </w:rPr>
        <w:footnoteRef/>
      </w:r>
      <w:r w:rsidRPr="00B41E22">
        <w:rPr>
          <w:rFonts w:ascii="Times New Roman" w:hAnsi="Times New Roman" w:cs="Times New Roman"/>
        </w:rPr>
        <w:t xml:space="preserve"> </w:t>
      </w:r>
      <w:r w:rsidRPr="00B41E22">
        <w:rPr>
          <w:rFonts w:ascii="Times New Roman" w:hAnsi="Times New Roman" w:cs="Times New Roman"/>
          <w:i/>
        </w:rPr>
        <w:t>Id.</w:t>
      </w:r>
      <w:r w:rsidRPr="00B41E22">
        <w:rPr>
          <w:rFonts w:ascii="Times New Roman" w:hAnsi="Times New Roman" w:cs="Times New Roman"/>
        </w:rPr>
        <w:t xml:space="preserve"> at *10.</w:t>
      </w:r>
    </w:p>
  </w:footnote>
  <w:footnote w:id="78">
    <w:p w:rsidR="00E2381D" w:rsidRPr="00357EED" w:rsidRDefault="00E2381D">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w:t>
      </w:r>
      <w:r w:rsidR="00DA7C66">
        <w:rPr>
          <w:rFonts w:ascii="Times New Roman" w:hAnsi="Times New Roman" w:cs="Times New Roman"/>
        </w:rPr>
        <w:t>8</w:t>
      </w:r>
      <w:r w:rsidRPr="00357EED">
        <w:rPr>
          <w:rFonts w:ascii="Times New Roman" w:hAnsi="Times New Roman" w:cs="Times New Roman"/>
        </w:rPr>
        <w:t xml:space="preserve">-10. </w:t>
      </w:r>
    </w:p>
  </w:footnote>
  <w:footnote w:id="79">
    <w:p w:rsidR="00C07003" w:rsidRPr="00357EED" w:rsidRDefault="00C07003">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at *10.</w:t>
      </w:r>
    </w:p>
  </w:footnote>
  <w:footnote w:id="80">
    <w:p w:rsidR="000E674B" w:rsidRPr="00357EED" w:rsidRDefault="000E674B">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r w:rsidR="00DA7C66">
        <w:rPr>
          <w:rFonts w:ascii="Times New Roman" w:hAnsi="Times New Roman" w:cs="Times New Roman"/>
        </w:rPr>
        <w:t>at *9.</w:t>
      </w:r>
    </w:p>
  </w:footnote>
  <w:footnote w:id="81">
    <w:p w:rsidR="00C8630D" w:rsidRPr="00357EED" w:rsidRDefault="00C8630D">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r w:rsidR="00DA7C66">
        <w:rPr>
          <w:rFonts w:ascii="Times New Roman" w:hAnsi="Times New Roman" w:cs="Times New Roman"/>
        </w:rPr>
        <w:t>at *10.</w:t>
      </w:r>
    </w:p>
  </w:footnote>
  <w:footnote w:id="82">
    <w:p w:rsidR="00627714" w:rsidRPr="00357EED" w:rsidRDefault="0062771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6422">
        <w:rPr>
          <w:rFonts w:ascii="Times New Roman" w:hAnsi="Times New Roman" w:cs="Times New Roman"/>
          <w:i/>
        </w:rPr>
        <w:t>Hicks v. Tug Patriot</w:t>
      </w:r>
      <w:r w:rsidRPr="00357EED">
        <w:rPr>
          <w:rFonts w:ascii="Times New Roman" w:hAnsi="Times New Roman" w:cs="Times New Roman"/>
        </w:rPr>
        <w:t>, 783 F.3d 939, 941 (2d Cir. 2015)</w:t>
      </w:r>
      <w:r w:rsidR="00B46422">
        <w:rPr>
          <w:rFonts w:ascii="Times New Roman" w:hAnsi="Times New Roman" w:cs="Times New Roman"/>
        </w:rPr>
        <w:t>.</w:t>
      </w:r>
    </w:p>
  </w:footnote>
  <w:footnote w:id="83">
    <w:p w:rsidR="00A1692C" w:rsidRPr="00357EED" w:rsidRDefault="00A1692C">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at 941. </w:t>
      </w:r>
    </w:p>
  </w:footnote>
  <w:footnote w:id="84">
    <w:p w:rsidR="002B1F85" w:rsidRPr="00357EED" w:rsidRDefault="002B1F85">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6C2EC7" w:rsidRPr="00357EED">
        <w:rPr>
          <w:rFonts w:ascii="Times New Roman" w:hAnsi="Times New Roman" w:cs="Times New Roman"/>
          <w:i/>
        </w:rPr>
        <w:t>Id</w:t>
      </w:r>
      <w:r w:rsidR="006C2EC7" w:rsidRPr="00357EED">
        <w:rPr>
          <w:rFonts w:ascii="Times New Roman" w:hAnsi="Times New Roman" w:cs="Times New Roman"/>
        </w:rPr>
        <w:t xml:space="preserve">. </w:t>
      </w:r>
    </w:p>
  </w:footnote>
  <w:footnote w:id="85">
    <w:p w:rsidR="00092496" w:rsidRPr="00357EED" w:rsidRDefault="00092496">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8A03CB">
        <w:rPr>
          <w:rFonts w:ascii="Times New Roman" w:hAnsi="Times New Roman" w:cs="Times New Roman"/>
          <w:i/>
        </w:rPr>
        <w:t>Hicks</w:t>
      </w:r>
      <w:r w:rsidR="008A03CB">
        <w:rPr>
          <w:rFonts w:ascii="Times New Roman" w:hAnsi="Times New Roman" w:cs="Times New Roman"/>
        </w:rPr>
        <w:t>, 783 F.3d at 941.</w:t>
      </w:r>
    </w:p>
  </w:footnote>
  <w:footnote w:id="86">
    <w:p w:rsidR="00BA46FF" w:rsidRPr="00357EED" w:rsidRDefault="00BA46FF">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87">
    <w:p w:rsidR="00DA7C66" w:rsidRPr="00357EED" w:rsidRDefault="00DA7C66" w:rsidP="00DA7C66">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88">
    <w:p w:rsidR="006379FA" w:rsidRPr="00357EED" w:rsidRDefault="006379FA">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89">
    <w:p w:rsidR="00DA7C66" w:rsidRPr="00357EED" w:rsidRDefault="00DA7C66" w:rsidP="00DA7C66">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90">
    <w:p w:rsidR="00DA7C66" w:rsidRPr="00357EED" w:rsidRDefault="00DA7C66" w:rsidP="00DA7C66">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91">
    <w:p w:rsidR="00DA7C66" w:rsidRPr="00357EED" w:rsidRDefault="00DA7C66" w:rsidP="00DA7C66">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92">
    <w:p w:rsidR="00DA7C66" w:rsidRPr="00357EED" w:rsidRDefault="00DA7C66" w:rsidP="00DA7C66">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EF46D7">
        <w:rPr>
          <w:rFonts w:ascii="Times New Roman" w:hAnsi="Times New Roman" w:cs="Times New Roman"/>
          <w:i/>
        </w:rPr>
        <w:t>Id</w:t>
      </w:r>
      <w:r w:rsidRPr="00357EED">
        <w:rPr>
          <w:rFonts w:ascii="Times New Roman" w:hAnsi="Times New Roman" w:cs="Times New Roman"/>
        </w:rPr>
        <w:t xml:space="preserve">. </w:t>
      </w:r>
    </w:p>
  </w:footnote>
  <w:footnote w:id="93">
    <w:p w:rsidR="006747BD" w:rsidRPr="00357EED" w:rsidRDefault="006747BD">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DF1477">
        <w:rPr>
          <w:rFonts w:ascii="Times New Roman" w:hAnsi="Times New Roman" w:cs="Times New Roman"/>
          <w:i/>
        </w:rPr>
        <w:t>Id</w:t>
      </w:r>
      <w:r w:rsidRPr="00357EED">
        <w:rPr>
          <w:rFonts w:ascii="Times New Roman" w:hAnsi="Times New Roman" w:cs="Times New Roman"/>
        </w:rPr>
        <w:t xml:space="preserve">. </w:t>
      </w:r>
    </w:p>
  </w:footnote>
  <w:footnote w:id="94">
    <w:p w:rsidR="00885289" w:rsidRPr="00357EED" w:rsidRDefault="00885289">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943 (overruling </w:t>
      </w:r>
      <w:r w:rsidRPr="00357EED">
        <w:rPr>
          <w:rStyle w:val="ssun"/>
          <w:rFonts w:ascii="Times New Roman" w:hAnsi="Times New Roman" w:cs="Times New Roman"/>
          <w:i/>
        </w:rPr>
        <w:t>McMillan v. Tug Jane A. Bouchard</w:t>
      </w:r>
      <w:r w:rsidRPr="00357EED">
        <w:rPr>
          <w:rStyle w:val="ssrfcpassagedeactivated"/>
          <w:rFonts w:ascii="Times New Roman" w:hAnsi="Times New Roman" w:cs="Times New Roman"/>
        </w:rPr>
        <w:t xml:space="preserve">, 885 F. Supp. 452, 466 (E.D.N.Y. 1995); </w:t>
      </w:r>
      <w:r w:rsidRPr="00357EED">
        <w:rPr>
          <w:rStyle w:val="ssun"/>
          <w:rFonts w:ascii="Times New Roman" w:hAnsi="Times New Roman" w:cs="Times New Roman"/>
          <w:i/>
        </w:rPr>
        <w:t>Kraljic v. Berman Enter., Inc.</w:t>
      </w:r>
      <w:r w:rsidRPr="00357EED">
        <w:rPr>
          <w:rStyle w:val="ssrfcpassagedeactivated"/>
          <w:rFonts w:ascii="Times New Roman" w:hAnsi="Times New Roman" w:cs="Times New Roman"/>
        </w:rPr>
        <w:t xml:space="preserve">, 575 F.2d 412, 415-16 (2d Cir. 1978)). </w:t>
      </w:r>
    </w:p>
  </w:footnote>
  <w:footnote w:id="95">
    <w:p w:rsidR="008F5101" w:rsidRPr="00357EED" w:rsidRDefault="008F5101" w:rsidP="008F5101">
      <w:pPr>
        <w:pStyle w:val="FootnoteText"/>
        <w:tabs>
          <w:tab w:val="left" w:pos="960"/>
        </w:tabs>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DF1477">
        <w:rPr>
          <w:rFonts w:ascii="Times New Roman" w:hAnsi="Times New Roman" w:cs="Times New Roman"/>
          <w:i/>
        </w:rPr>
        <w:t>Jefferson v. Baywater Drilling, LLC</w:t>
      </w:r>
      <w:r w:rsidRPr="00357EED">
        <w:rPr>
          <w:rFonts w:ascii="Times New Roman" w:hAnsi="Times New Roman" w:cs="Times New Roman"/>
        </w:rPr>
        <w:t xml:space="preserve">, 2015 U.S. Dist. LEXIS 9314, </w:t>
      </w:r>
      <w:r w:rsidR="00EE6AEB">
        <w:rPr>
          <w:rFonts w:ascii="Times New Roman" w:hAnsi="Times New Roman" w:cs="Times New Roman"/>
        </w:rPr>
        <w:t xml:space="preserve">at </w:t>
      </w:r>
      <w:r w:rsidR="00A4613A">
        <w:rPr>
          <w:rFonts w:ascii="Times New Roman" w:hAnsi="Times New Roman" w:cs="Times New Roman"/>
        </w:rPr>
        <w:t xml:space="preserve">*20 </w:t>
      </w:r>
      <w:r w:rsidRPr="00357EED">
        <w:rPr>
          <w:rFonts w:ascii="Times New Roman" w:hAnsi="Times New Roman" w:cs="Times New Roman"/>
        </w:rPr>
        <w:t>2015 AMC 571 (E.D. La. Jan. 27, 2015).</w:t>
      </w:r>
    </w:p>
  </w:footnote>
  <w:footnote w:id="96">
    <w:p w:rsidR="001170E7" w:rsidRPr="00357EED" w:rsidRDefault="001170E7">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w:t>
      </w:r>
      <w:r w:rsidR="00A4613A">
        <w:rPr>
          <w:rFonts w:ascii="Times New Roman" w:hAnsi="Times New Roman" w:cs="Times New Roman"/>
        </w:rPr>
        <w:t>at *1.</w:t>
      </w:r>
    </w:p>
  </w:footnote>
  <w:footnote w:id="97">
    <w:p w:rsidR="00FD62AC" w:rsidRPr="00357EED" w:rsidRDefault="00FD62AC">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at *9. </w:t>
      </w:r>
    </w:p>
  </w:footnote>
  <w:footnote w:id="98">
    <w:p w:rsidR="00AF76E1" w:rsidRPr="00357EED" w:rsidRDefault="00AF76E1">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004A6953" w:rsidRPr="00DF1477">
        <w:rPr>
          <w:rFonts w:ascii="Times New Roman" w:hAnsi="Times New Roman" w:cs="Times New Roman"/>
          <w:i/>
        </w:rPr>
        <w:t>Jefferson</w:t>
      </w:r>
      <w:r w:rsidR="004A6953" w:rsidRPr="00357EED">
        <w:rPr>
          <w:rFonts w:ascii="Times New Roman" w:hAnsi="Times New Roman" w:cs="Times New Roman"/>
        </w:rPr>
        <w:t xml:space="preserve">, 2015 U.S. Dist. LEXIS 9314, </w:t>
      </w:r>
      <w:r w:rsidR="004A6953">
        <w:rPr>
          <w:rFonts w:ascii="Times New Roman" w:hAnsi="Times New Roman" w:cs="Times New Roman"/>
        </w:rPr>
        <w:t>at</w:t>
      </w:r>
      <w:r w:rsidR="004A6953">
        <w:rPr>
          <w:rFonts w:ascii="Times New Roman" w:hAnsi="Times New Roman" w:cs="Times New Roman"/>
        </w:rPr>
        <w:t xml:space="preserve"> *9.</w:t>
      </w:r>
    </w:p>
  </w:footnote>
  <w:footnote w:id="99">
    <w:p w:rsidR="00222314" w:rsidRPr="00357EED" w:rsidRDefault="0022231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357EED">
        <w:rPr>
          <w:rFonts w:ascii="Times New Roman" w:hAnsi="Times New Roman" w:cs="Times New Roman"/>
          <w:i/>
        </w:rPr>
        <w:t>Id</w:t>
      </w:r>
      <w:r w:rsidRPr="00357EED">
        <w:rPr>
          <w:rFonts w:ascii="Times New Roman" w:hAnsi="Times New Roman" w:cs="Times New Roman"/>
        </w:rPr>
        <w:t xml:space="preserve">. </w:t>
      </w:r>
    </w:p>
  </w:footnote>
  <w:footnote w:id="100">
    <w:p w:rsidR="00222314" w:rsidRPr="00357EED" w:rsidRDefault="00222314">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w:t>
      </w:r>
      <w:r w:rsidR="00263468">
        <w:rPr>
          <w:rFonts w:ascii="Times New Roman" w:hAnsi="Times New Roman" w:cs="Times New Roman"/>
        </w:rPr>
        <w:t>*</w:t>
      </w:r>
      <w:r w:rsidRPr="00357EED">
        <w:rPr>
          <w:rFonts w:ascii="Times New Roman" w:hAnsi="Times New Roman" w:cs="Times New Roman"/>
        </w:rPr>
        <w:t xml:space="preserve">16. </w:t>
      </w:r>
    </w:p>
  </w:footnote>
  <w:footnote w:id="101">
    <w:p w:rsidR="002B7453" w:rsidRPr="00357EED" w:rsidRDefault="002B7453">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w:t>
      </w:r>
      <w:r w:rsidR="00263468">
        <w:rPr>
          <w:rFonts w:ascii="Times New Roman" w:hAnsi="Times New Roman" w:cs="Times New Roman"/>
        </w:rPr>
        <w:t>*</w:t>
      </w:r>
      <w:r w:rsidRPr="00357EED">
        <w:rPr>
          <w:rFonts w:ascii="Times New Roman" w:hAnsi="Times New Roman" w:cs="Times New Roman"/>
        </w:rPr>
        <w:t>17</w:t>
      </w:r>
      <w:r w:rsidR="00263468">
        <w:rPr>
          <w:rFonts w:ascii="Times New Roman" w:hAnsi="Times New Roman" w:cs="Times New Roman"/>
        </w:rPr>
        <w:t>-18</w:t>
      </w:r>
      <w:r w:rsidRPr="00357EED">
        <w:rPr>
          <w:rFonts w:ascii="Times New Roman" w:hAnsi="Times New Roman" w:cs="Times New Roman"/>
        </w:rPr>
        <w:t xml:space="preserve">. </w:t>
      </w:r>
    </w:p>
  </w:footnote>
  <w:footnote w:id="102">
    <w:p w:rsidR="00731EBA" w:rsidRPr="00357EED" w:rsidRDefault="00731EBA">
      <w:pPr>
        <w:pStyle w:val="FootnoteText"/>
        <w:rPr>
          <w:rFonts w:ascii="Times New Roman" w:hAnsi="Times New Roman" w:cs="Times New Roman"/>
        </w:rPr>
      </w:pPr>
      <w:r w:rsidRPr="00357EED">
        <w:rPr>
          <w:rStyle w:val="FootnoteReference"/>
          <w:rFonts w:ascii="Times New Roman" w:hAnsi="Times New Roman" w:cs="Times New Roman"/>
        </w:rPr>
        <w:footnoteRef/>
      </w:r>
      <w:r w:rsidRPr="00357EED">
        <w:rPr>
          <w:rFonts w:ascii="Times New Roman" w:hAnsi="Times New Roman" w:cs="Times New Roman"/>
        </w:rPr>
        <w:t xml:space="preserve"> </w:t>
      </w:r>
      <w:r w:rsidRPr="00B41E22">
        <w:rPr>
          <w:rFonts w:ascii="Times New Roman" w:hAnsi="Times New Roman" w:cs="Times New Roman"/>
          <w:i/>
        </w:rPr>
        <w:t>Id.</w:t>
      </w:r>
      <w:r w:rsidRPr="00357EED">
        <w:rPr>
          <w:rFonts w:ascii="Times New Roman" w:hAnsi="Times New Roman" w:cs="Times New Roman"/>
        </w:rPr>
        <w:t xml:space="preserve"> at </w:t>
      </w:r>
      <w:r w:rsidR="00263468">
        <w:rPr>
          <w:rFonts w:ascii="Times New Roman" w:hAnsi="Times New Roman" w:cs="Times New Roman"/>
        </w:rPr>
        <w:t>*</w:t>
      </w:r>
      <w:r w:rsidRPr="00357EED">
        <w:rPr>
          <w:rFonts w:ascii="Times New Roman" w:hAnsi="Times New Roman" w:cs="Times New Roman"/>
        </w:rPr>
        <w:t xml:space="preserve">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D5"/>
    <w:rsid w:val="00014A84"/>
    <w:rsid w:val="00014F46"/>
    <w:rsid w:val="0001560D"/>
    <w:rsid w:val="00017AD2"/>
    <w:rsid w:val="0003363D"/>
    <w:rsid w:val="00060A9D"/>
    <w:rsid w:val="00075F65"/>
    <w:rsid w:val="000845C2"/>
    <w:rsid w:val="0008686D"/>
    <w:rsid w:val="00092496"/>
    <w:rsid w:val="000A6285"/>
    <w:rsid w:val="000B6508"/>
    <w:rsid w:val="000E09A1"/>
    <w:rsid w:val="000E1420"/>
    <w:rsid w:val="000E1A18"/>
    <w:rsid w:val="000E2034"/>
    <w:rsid w:val="000E58BF"/>
    <w:rsid w:val="000E674B"/>
    <w:rsid w:val="000F6817"/>
    <w:rsid w:val="001020F3"/>
    <w:rsid w:val="001170E7"/>
    <w:rsid w:val="00120CB1"/>
    <w:rsid w:val="00121184"/>
    <w:rsid w:val="00126B63"/>
    <w:rsid w:val="001324AD"/>
    <w:rsid w:val="00141014"/>
    <w:rsid w:val="00141023"/>
    <w:rsid w:val="00144DD3"/>
    <w:rsid w:val="001551CA"/>
    <w:rsid w:val="0015547D"/>
    <w:rsid w:val="0016166D"/>
    <w:rsid w:val="001624FB"/>
    <w:rsid w:val="00167948"/>
    <w:rsid w:val="001747A1"/>
    <w:rsid w:val="001847DE"/>
    <w:rsid w:val="00186252"/>
    <w:rsid w:val="00195AB1"/>
    <w:rsid w:val="001A695D"/>
    <w:rsid w:val="001A699C"/>
    <w:rsid w:val="001A6D37"/>
    <w:rsid w:val="001B396C"/>
    <w:rsid w:val="001B3AAA"/>
    <w:rsid w:val="001C28B5"/>
    <w:rsid w:val="001C6AA2"/>
    <w:rsid w:val="001C74DA"/>
    <w:rsid w:val="001D1B84"/>
    <w:rsid w:val="001D215D"/>
    <w:rsid w:val="001D435E"/>
    <w:rsid w:val="001D5E8A"/>
    <w:rsid w:val="00203E9D"/>
    <w:rsid w:val="0020403F"/>
    <w:rsid w:val="00205385"/>
    <w:rsid w:val="00205CA8"/>
    <w:rsid w:val="00211BA5"/>
    <w:rsid w:val="002130B6"/>
    <w:rsid w:val="00217F3C"/>
    <w:rsid w:val="00222314"/>
    <w:rsid w:val="002226D0"/>
    <w:rsid w:val="0022678F"/>
    <w:rsid w:val="0023359E"/>
    <w:rsid w:val="002353C3"/>
    <w:rsid w:val="00235D3A"/>
    <w:rsid w:val="0024038F"/>
    <w:rsid w:val="00242334"/>
    <w:rsid w:val="00246F72"/>
    <w:rsid w:val="0025564B"/>
    <w:rsid w:val="00260847"/>
    <w:rsid w:val="00263468"/>
    <w:rsid w:val="00263B6C"/>
    <w:rsid w:val="00274AC3"/>
    <w:rsid w:val="00281DD9"/>
    <w:rsid w:val="00286393"/>
    <w:rsid w:val="00291290"/>
    <w:rsid w:val="00294098"/>
    <w:rsid w:val="002A04F7"/>
    <w:rsid w:val="002A3FC2"/>
    <w:rsid w:val="002A3FE7"/>
    <w:rsid w:val="002A5D36"/>
    <w:rsid w:val="002B1F85"/>
    <w:rsid w:val="002B3416"/>
    <w:rsid w:val="002B47E5"/>
    <w:rsid w:val="002B7453"/>
    <w:rsid w:val="002B7D4B"/>
    <w:rsid w:val="002C3873"/>
    <w:rsid w:val="002D42EE"/>
    <w:rsid w:val="002D4E9C"/>
    <w:rsid w:val="002E3F7F"/>
    <w:rsid w:val="002F483D"/>
    <w:rsid w:val="00313DB3"/>
    <w:rsid w:val="00317F53"/>
    <w:rsid w:val="00331333"/>
    <w:rsid w:val="003368D5"/>
    <w:rsid w:val="00340E3D"/>
    <w:rsid w:val="00346415"/>
    <w:rsid w:val="0035232E"/>
    <w:rsid w:val="00356441"/>
    <w:rsid w:val="00357EED"/>
    <w:rsid w:val="0036347F"/>
    <w:rsid w:val="003803D2"/>
    <w:rsid w:val="00385CD7"/>
    <w:rsid w:val="00396939"/>
    <w:rsid w:val="003A0C51"/>
    <w:rsid w:val="003A105D"/>
    <w:rsid w:val="003A2C64"/>
    <w:rsid w:val="003A2D8C"/>
    <w:rsid w:val="003A34BD"/>
    <w:rsid w:val="003A4095"/>
    <w:rsid w:val="003A698E"/>
    <w:rsid w:val="003A7073"/>
    <w:rsid w:val="003C7702"/>
    <w:rsid w:val="003D004D"/>
    <w:rsid w:val="003E44D5"/>
    <w:rsid w:val="003E4FA7"/>
    <w:rsid w:val="00413788"/>
    <w:rsid w:val="004368BA"/>
    <w:rsid w:val="00446B58"/>
    <w:rsid w:val="004530E5"/>
    <w:rsid w:val="004544F2"/>
    <w:rsid w:val="00454BE3"/>
    <w:rsid w:val="00454FF0"/>
    <w:rsid w:val="004645B4"/>
    <w:rsid w:val="00472EE4"/>
    <w:rsid w:val="00475E6B"/>
    <w:rsid w:val="00477CA3"/>
    <w:rsid w:val="00480C51"/>
    <w:rsid w:val="004912F2"/>
    <w:rsid w:val="004950C7"/>
    <w:rsid w:val="004A4AE9"/>
    <w:rsid w:val="004A6953"/>
    <w:rsid w:val="004B02C6"/>
    <w:rsid w:val="004B4AE1"/>
    <w:rsid w:val="004B71C3"/>
    <w:rsid w:val="004C2661"/>
    <w:rsid w:val="004C4F89"/>
    <w:rsid w:val="004D199C"/>
    <w:rsid w:val="004D3136"/>
    <w:rsid w:val="004D7B43"/>
    <w:rsid w:val="004F70D5"/>
    <w:rsid w:val="00503126"/>
    <w:rsid w:val="00505BA1"/>
    <w:rsid w:val="005076E8"/>
    <w:rsid w:val="00511329"/>
    <w:rsid w:val="00512FA5"/>
    <w:rsid w:val="00531FE5"/>
    <w:rsid w:val="005436FD"/>
    <w:rsid w:val="005572DF"/>
    <w:rsid w:val="00565989"/>
    <w:rsid w:val="00577CBF"/>
    <w:rsid w:val="00582C33"/>
    <w:rsid w:val="005864B3"/>
    <w:rsid w:val="00597FBB"/>
    <w:rsid w:val="005A3200"/>
    <w:rsid w:val="005A48F2"/>
    <w:rsid w:val="005A7323"/>
    <w:rsid w:val="005B06CF"/>
    <w:rsid w:val="005B4EA3"/>
    <w:rsid w:val="005B7123"/>
    <w:rsid w:val="005C33D5"/>
    <w:rsid w:val="005C3741"/>
    <w:rsid w:val="005C4FF8"/>
    <w:rsid w:val="005C62EA"/>
    <w:rsid w:val="005D12E5"/>
    <w:rsid w:val="005D51BC"/>
    <w:rsid w:val="005D747A"/>
    <w:rsid w:val="005E62A3"/>
    <w:rsid w:val="005F2D6B"/>
    <w:rsid w:val="0060030F"/>
    <w:rsid w:val="006005D7"/>
    <w:rsid w:val="00602942"/>
    <w:rsid w:val="006030AD"/>
    <w:rsid w:val="006038CF"/>
    <w:rsid w:val="0061028C"/>
    <w:rsid w:val="00611CAE"/>
    <w:rsid w:val="00613285"/>
    <w:rsid w:val="006204F5"/>
    <w:rsid w:val="00621E9C"/>
    <w:rsid w:val="006226EC"/>
    <w:rsid w:val="00627714"/>
    <w:rsid w:val="00630E32"/>
    <w:rsid w:val="006379FA"/>
    <w:rsid w:val="006455FC"/>
    <w:rsid w:val="00646DB5"/>
    <w:rsid w:val="00661327"/>
    <w:rsid w:val="0066147E"/>
    <w:rsid w:val="00671A1D"/>
    <w:rsid w:val="006747BD"/>
    <w:rsid w:val="00686235"/>
    <w:rsid w:val="0069686F"/>
    <w:rsid w:val="006A0751"/>
    <w:rsid w:val="006A0CDC"/>
    <w:rsid w:val="006A1BB3"/>
    <w:rsid w:val="006A2A7B"/>
    <w:rsid w:val="006A35DC"/>
    <w:rsid w:val="006B0C75"/>
    <w:rsid w:val="006B46FE"/>
    <w:rsid w:val="006B5701"/>
    <w:rsid w:val="006B76E2"/>
    <w:rsid w:val="006B7F5D"/>
    <w:rsid w:val="006C1EC4"/>
    <w:rsid w:val="006C25DD"/>
    <w:rsid w:val="006C2EC7"/>
    <w:rsid w:val="006D2048"/>
    <w:rsid w:val="006D4B38"/>
    <w:rsid w:val="006E2961"/>
    <w:rsid w:val="006F5DEC"/>
    <w:rsid w:val="006F641F"/>
    <w:rsid w:val="006F7286"/>
    <w:rsid w:val="00712A74"/>
    <w:rsid w:val="00721FDC"/>
    <w:rsid w:val="00723640"/>
    <w:rsid w:val="00724651"/>
    <w:rsid w:val="00726186"/>
    <w:rsid w:val="00731EBA"/>
    <w:rsid w:val="00734E3C"/>
    <w:rsid w:val="00741431"/>
    <w:rsid w:val="00751520"/>
    <w:rsid w:val="007570A0"/>
    <w:rsid w:val="00762B9C"/>
    <w:rsid w:val="00776C88"/>
    <w:rsid w:val="00783685"/>
    <w:rsid w:val="0079044E"/>
    <w:rsid w:val="0079546D"/>
    <w:rsid w:val="007A2509"/>
    <w:rsid w:val="007A2E2A"/>
    <w:rsid w:val="007A5BC9"/>
    <w:rsid w:val="007B2ABD"/>
    <w:rsid w:val="007B2B50"/>
    <w:rsid w:val="007C1A03"/>
    <w:rsid w:val="007C308F"/>
    <w:rsid w:val="007C6298"/>
    <w:rsid w:val="007D2FC3"/>
    <w:rsid w:val="007D7140"/>
    <w:rsid w:val="007F32F2"/>
    <w:rsid w:val="00811016"/>
    <w:rsid w:val="00814D0B"/>
    <w:rsid w:val="00816C44"/>
    <w:rsid w:val="008206E1"/>
    <w:rsid w:val="00836672"/>
    <w:rsid w:val="0085023B"/>
    <w:rsid w:val="00853705"/>
    <w:rsid w:val="00854001"/>
    <w:rsid w:val="0088173E"/>
    <w:rsid w:val="008819C2"/>
    <w:rsid w:val="008848E2"/>
    <w:rsid w:val="00885289"/>
    <w:rsid w:val="00893CD2"/>
    <w:rsid w:val="008A03CB"/>
    <w:rsid w:val="008A12D2"/>
    <w:rsid w:val="008B15BF"/>
    <w:rsid w:val="008B36B6"/>
    <w:rsid w:val="008B598F"/>
    <w:rsid w:val="008B5D16"/>
    <w:rsid w:val="008C58E6"/>
    <w:rsid w:val="008C5F49"/>
    <w:rsid w:val="008D32FD"/>
    <w:rsid w:val="008F5101"/>
    <w:rsid w:val="008F7573"/>
    <w:rsid w:val="00911BB4"/>
    <w:rsid w:val="0091435C"/>
    <w:rsid w:val="00914E9A"/>
    <w:rsid w:val="00921EC5"/>
    <w:rsid w:val="00933687"/>
    <w:rsid w:val="00935DDC"/>
    <w:rsid w:val="00943113"/>
    <w:rsid w:val="00946DED"/>
    <w:rsid w:val="0095113B"/>
    <w:rsid w:val="00954AFC"/>
    <w:rsid w:val="00955805"/>
    <w:rsid w:val="009563C1"/>
    <w:rsid w:val="0096111B"/>
    <w:rsid w:val="009630FA"/>
    <w:rsid w:val="00963456"/>
    <w:rsid w:val="00970128"/>
    <w:rsid w:val="00972F2F"/>
    <w:rsid w:val="009739E7"/>
    <w:rsid w:val="00974A5F"/>
    <w:rsid w:val="00974ECA"/>
    <w:rsid w:val="009818AD"/>
    <w:rsid w:val="009827E5"/>
    <w:rsid w:val="00984715"/>
    <w:rsid w:val="0099024E"/>
    <w:rsid w:val="00990421"/>
    <w:rsid w:val="00990891"/>
    <w:rsid w:val="009932B8"/>
    <w:rsid w:val="009A01BD"/>
    <w:rsid w:val="009A02B1"/>
    <w:rsid w:val="009B5D15"/>
    <w:rsid w:val="009B79BA"/>
    <w:rsid w:val="009C020B"/>
    <w:rsid w:val="009C10E7"/>
    <w:rsid w:val="009C7122"/>
    <w:rsid w:val="009D072A"/>
    <w:rsid w:val="009D4660"/>
    <w:rsid w:val="009D65B5"/>
    <w:rsid w:val="009E0FCC"/>
    <w:rsid w:val="009E2C38"/>
    <w:rsid w:val="009F5F18"/>
    <w:rsid w:val="009F7322"/>
    <w:rsid w:val="00A02683"/>
    <w:rsid w:val="00A1692C"/>
    <w:rsid w:val="00A17A1B"/>
    <w:rsid w:val="00A22B32"/>
    <w:rsid w:val="00A25008"/>
    <w:rsid w:val="00A40520"/>
    <w:rsid w:val="00A4613A"/>
    <w:rsid w:val="00A515DD"/>
    <w:rsid w:val="00A72A0A"/>
    <w:rsid w:val="00A831B3"/>
    <w:rsid w:val="00A84977"/>
    <w:rsid w:val="00A84F74"/>
    <w:rsid w:val="00A94204"/>
    <w:rsid w:val="00A94FF9"/>
    <w:rsid w:val="00A95CDD"/>
    <w:rsid w:val="00AA010B"/>
    <w:rsid w:val="00AA69EA"/>
    <w:rsid w:val="00AB5A4C"/>
    <w:rsid w:val="00AC4371"/>
    <w:rsid w:val="00AD34AE"/>
    <w:rsid w:val="00AD7405"/>
    <w:rsid w:val="00AE202E"/>
    <w:rsid w:val="00AF76E1"/>
    <w:rsid w:val="00B03D3F"/>
    <w:rsid w:val="00B05002"/>
    <w:rsid w:val="00B10036"/>
    <w:rsid w:val="00B10D33"/>
    <w:rsid w:val="00B27095"/>
    <w:rsid w:val="00B31828"/>
    <w:rsid w:val="00B41E22"/>
    <w:rsid w:val="00B43191"/>
    <w:rsid w:val="00B4319D"/>
    <w:rsid w:val="00B44185"/>
    <w:rsid w:val="00B46422"/>
    <w:rsid w:val="00B4678C"/>
    <w:rsid w:val="00B505E4"/>
    <w:rsid w:val="00B52A5B"/>
    <w:rsid w:val="00B56E4E"/>
    <w:rsid w:val="00B66D17"/>
    <w:rsid w:val="00B8450F"/>
    <w:rsid w:val="00B903CF"/>
    <w:rsid w:val="00B9204F"/>
    <w:rsid w:val="00B935FC"/>
    <w:rsid w:val="00B93BD4"/>
    <w:rsid w:val="00B94A5D"/>
    <w:rsid w:val="00B94EE7"/>
    <w:rsid w:val="00B97462"/>
    <w:rsid w:val="00B97AAC"/>
    <w:rsid w:val="00BA09C7"/>
    <w:rsid w:val="00BA1651"/>
    <w:rsid w:val="00BA46FF"/>
    <w:rsid w:val="00BD3A4B"/>
    <w:rsid w:val="00BE49D3"/>
    <w:rsid w:val="00BE4D3E"/>
    <w:rsid w:val="00BE76B8"/>
    <w:rsid w:val="00BF29C1"/>
    <w:rsid w:val="00BF43F1"/>
    <w:rsid w:val="00C07003"/>
    <w:rsid w:val="00C16E02"/>
    <w:rsid w:val="00C220B0"/>
    <w:rsid w:val="00C24D7B"/>
    <w:rsid w:val="00C3322F"/>
    <w:rsid w:val="00C337DD"/>
    <w:rsid w:val="00C36B0A"/>
    <w:rsid w:val="00C40828"/>
    <w:rsid w:val="00C455C3"/>
    <w:rsid w:val="00C5658D"/>
    <w:rsid w:val="00C5710F"/>
    <w:rsid w:val="00C573CC"/>
    <w:rsid w:val="00C7714B"/>
    <w:rsid w:val="00C80628"/>
    <w:rsid w:val="00C82D88"/>
    <w:rsid w:val="00C8630D"/>
    <w:rsid w:val="00C866EE"/>
    <w:rsid w:val="00C909CA"/>
    <w:rsid w:val="00C91872"/>
    <w:rsid w:val="00C93F51"/>
    <w:rsid w:val="00CA062B"/>
    <w:rsid w:val="00CA2344"/>
    <w:rsid w:val="00CA507A"/>
    <w:rsid w:val="00CC0BE3"/>
    <w:rsid w:val="00CC70EB"/>
    <w:rsid w:val="00CC7478"/>
    <w:rsid w:val="00CC7A33"/>
    <w:rsid w:val="00CD0E7B"/>
    <w:rsid w:val="00CE66AB"/>
    <w:rsid w:val="00CE76C6"/>
    <w:rsid w:val="00CF23F1"/>
    <w:rsid w:val="00D043FB"/>
    <w:rsid w:val="00D2154B"/>
    <w:rsid w:val="00D242EE"/>
    <w:rsid w:val="00D3247F"/>
    <w:rsid w:val="00D53E2A"/>
    <w:rsid w:val="00D545C2"/>
    <w:rsid w:val="00D57278"/>
    <w:rsid w:val="00D6373E"/>
    <w:rsid w:val="00D721C1"/>
    <w:rsid w:val="00D77FEB"/>
    <w:rsid w:val="00D846E2"/>
    <w:rsid w:val="00DA1973"/>
    <w:rsid w:val="00DA5C8E"/>
    <w:rsid w:val="00DA7C66"/>
    <w:rsid w:val="00DB1ADB"/>
    <w:rsid w:val="00DB1F11"/>
    <w:rsid w:val="00DD49AD"/>
    <w:rsid w:val="00DD76B9"/>
    <w:rsid w:val="00DD79AB"/>
    <w:rsid w:val="00DE246B"/>
    <w:rsid w:val="00DF1477"/>
    <w:rsid w:val="00DF49E7"/>
    <w:rsid w:val="00E01740"/>
    <w:rsid w:val="00E0230E"/>
    <w:rsid w:val="00E11251"/>
    <w:rsid w:val="00E112AD"/>
    <w:rsid w:val="00E14C7C"/>
    <w:rsid w:val="00E15A64"/>
    <w:rsid w:val="00E162B4"/>
    <w:rsid w:val="00E2381D"/>
    <w:rsid w:val="00E24E54"/>
    <w:rsid w:val="00E26FB1"/>
    <w:rsid w:val="00E37A75"/>
    <w:rsid w:val="00E4261C"/>
    <w:rsid w:val="00E5529B"/>
    <w:rsid w:val="00E65875"/>
    <w:rsid w:val="00E734F6"/>
    <w:rsid w:val="00E742CD"/>
    <w:rsid w:val="00E80EA5"/>
    <w:rsid w:val="00E8111F"/>
    <w:rsid w:val="00EA74EF"/>
    <w:rsid w:val="00EB600B"/>
    <w:rsid w:val="00ED18D9"/>
    <w:rsid w:val="00ED192E"/>
    <w:rsid w:val="00EE56ED"/>
    <w:rsid w:val="00EE6AEB"/>
    <w:rsid w:val="00EE74D2"/>
    <w:rsid w:val="00EF103D"/>
    <w:rsid w:val="00EF46D7"/>
    <w:rsid w:val="00EF69F3"/>
    <w:rsid w:val="00F05224"/>
    <w:rsid w:val="00F07538"/>
    <w:rsid w:val="00F10124"/>
    <w:rsid w:val="00F111CE"/>
    <w:rsid w:val="00F15757"/>
    <w:rsid w:val="00F15A43"/>
    <w:rsid w:val="00F16227"/>
    <w:rsid w:val="00F25B7C"/>
    <w:rsid w:val="00F31574"/>
    <w:rsid w:val="00F32940"/>
    <w:rsid w:val="00F3508F"/>
    <w:rsid w:val="00F56956"/>
    <w:rsid w:val="00F60D9C"/>
    <w:rsid w:val="00F65025"/>
    <w:rsid w:val="00F67520"/>
    <w:rsid w:val="00F71491"/>
    <w:rsid w:val="00F76FB1"/>
    <w:rsid w:val="00F81C80"/>
    <w:rsid w:val="00F85F26"/>
    <w:rsid w:val="00F86766"/>
    <w:rsid w:val="00F944F9"/>
    <w:rsid w:val="00F94F1E"/>
    <w:rsid w:val="00FA0D15"/>
    <w:rsid w:val="00FA70ED"/>
    <w:rsid w:val="00FA744F"/>
    <w:rsid w:val="00FC05F8"/>
    <w:rsid w:val="00FD1A9E"/>
    <w:rsid w:val="00FD219D"/>
    <w:rsid w:val="00FD62AC"/>
    <w:rsid w:val="00FD6B32"/>
    <w:rsid w:val="00FF15A4"/>
    <w:rsid w:val="00FF16BE"/>
    <w:rsid w:val="00FF44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C34A5F-72BB-46A8-8BDF-8D07C81C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B5"/>
    <w:rPr>
      <w:color w:val="0563C1" w:themeColor="hyperlink"/>
      <w:u w:val="single"/>
    </w:rPr>
  </w:style>
  <w:style w:type="paragraph" w:customStyle="1" w:styleId="Normal0">
    <w:name w:val="Normal_0"/>
    <w:qFormat/>
    <w:rsid w:val="009908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5D"/>
  </w:style>
  <w:style w:type="paragraph" w:styleId="Footer">
    <w:name w:val="footer"/>
    <w:basedOn w:val="Normal"/>
    <w:link w:val="FooterChar"/>
    <w:uiPriority w:val="99"/>
    <w:unhideWhenUsed/>
    <w:rsid w:val="001D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5D"/>
  </w:style>
  <w:style w:type="paragraph" w:styleId="ListParagraph">
    <w:name w:val="List Paragraph"/>
    <w:basedOn w:val="Normal"/>
    <w:uiPriority w:val="34"/>
    <w:qFormat/>
    <w:rsid w:val="00D846E2"/>
    <w:pPr>
      <w:ind w:left="720"/>
      <w:contextualSpacing/>
    </w:pPr>
  </w:style>
  <w:style w:type="character" w:customStyle="1" w:styleId="sspagshow">
    <w:name w:val="ss_pag_show"/>
    <w:basedOn w:val="DefaultParagraphFont"/>
    <w:rsid w:val="00AE202E"/>
  </w:style>
  <w:style w:type="paragraph" w:styleId="NormalWeb">
    <w:name w:val="Normal (Web)"/>
    <w:basedOn w:val="Normal"/>
    <w:uiPriority w:val="99"/>
    <w:unhideWhenUsed/>
    <w:rsid w:val="00F71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71491"/>
  </w:style>
  <w:style w:type="character" w:customStyle="1" w:styleId="ssun">
    <w:name w:val="ss_un"/>
    <w:basedOn w:val="DefaultParagraphFont"/>
    <w:rsid w:val="00F71491"/>
  </w:style>
  <w:style w:type="character" w:customStyle="1" w:styleId="ssit">
    <w:name w:val="ss_it"/>
    <w:basedOn w:val="DefaultParagraphFont"/>
    <w:rsid w:val="009563C1"/>
  </w:style>
  <w:style w:type="character" w:customStyle="1" w:styleId="ssbf">
    <w:name w:val="ss_bf"/>
    <w:basedOn w:val="DefaultParagraphFont"/>
    <w:rsid w:val="001C74DA"/>
  </w:style>
  <w:style w:type="character" w:customStyle="1" w:styleId="ssib">
    <w:name w:val="ss_ib"/>
    <w:basedOn w:val="DefaultParagraphFont"/>
    <w:rsid w:val="00C80628"/>
  </w:style>
  <w:style w:type="character" w:customStyle="1" w:styleId="sspaghide">
    <w:name w:val="ss_pag_hide"/>
    <w:basedOn w:val="DefaultParagraphFont"/>
    <w:rsid w:val="000845C2"/>
  </w:style>
  <w:style w:type="character" w:customStyle="1" w:styleId="sssmcaps">
    <w:name w:val="ss_smcaps"/>
    <w:basedOn w:val="DefaultParagraphFont"/>
    <w:rsid w:val="002A5D36"/>
  </w:style>
  <w:style w:type="paragraph" w:styleId="FootnoteText">
    <w:name w:val="footnote text"/>
    <w:basedOn w:val="Normal"/>
    <w:link w:val="FootnoteTextChar"/>
    <w:uiPriority w:val="99"/>
    <w:unhideWhenUsed/>
    <w:rsid w:val="00396939"/>
    <w:pPr>
      <w:spacing w:after="0" w:line="240" w:lineRule="auto"/>
    </w:pPr>
    <w:rPr>
      <w:sz w:val="20"/>
      <w:szCs w:val="20"/>
    </w:rPr>
  </w:style>
  <w:style w:type="character" w:customStyle="1" w:styleId="FootnoteTextChar">
    <w:name w:val="Footnote Text Char"/>
    <w:basedOn w:val="DefaultParagraphFont"/>
    <w:link w:val="FootnoteText"/>
    <w:uiPriority w:val="99"/>
    <w:rsid w:val="00396939"/>
    <w:rPr>
      <w:sz w:val="20"/>
      <w:szCs w:val="20"/>
    </w:rPr>
  </w:style>
  <w:style w:type="character" w:styleId="FootnoteReference">
    <w:name w:val="footnote reference"/>
    <w:basedOn w:val="DefaultParagraphFont"/>
    <w:uiPriority w:val="99"/>
    <w:unhideWhenUsed/>
    <w:rsid w:val="00396939"/>
    <w:rPr>
      <w:vertAlign w:val="superscript"/>
    </w:rPr>
  </w:style>
  <w:style w:type="character" w:customStyle="1" w:styleId="apple-converted-space">
    <w:name w:val="apple-converted-space"/>
    <w:basedOn w:val="DefaultParagraphFont"/>
    <w:rsid w:val="00167948"/>
  </w:style>
  <w:style w:type="character" w:styleId="FollowedHyperlink">
    <w:name w:val="FollowedHyperlink"/>
    <w:basedOn w:val="DefaultParagraphFont"/>
    <w:uiPriority w:val="99"/>
    <w:semiHidden/>
    <w:unhideWhenUsed/>
    <w:rsid w:val="00167948"/>
    <w:rPr>
      <w:color w:val="954F72" w:themeColor="followedHyperlink"/>
      <w:u w:val="single"/>
    </w:rPr>
  </w:style>
  <w:style w:type="paragraph" w:styleId="BalloonText">
    <w:name w:val="Balloon Text"/>
    <w:basedOn w:val="Normal"/>
    <w:link w:val="BalloonTextChar"/>
    <w:uiPriority w:val="99"/>
    <w:semiHidden/>
    <w:unhideWhenUsed/>
    <w:rsid w:val="005E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6107">
      <w:bodyDiv w:val="1"/>
      <w:marLeft w:val="0"/>
      <w:marRight w:val="0"/>
      <w:marTop w:val="0"/>
      <w:marBottom w:val="0"/>
      <w:divBdr>
        <w:top w:val="none" w:sz="0" w:space="0" w:color="auto"/>
        <w:left w:val="none" w:sz="0" w:space="0" w:color="auto"/>
        <w:bottom w:val="none" w:sz="0" w:space="0" w:color="auto"/>
        <w:right w:val="none" w:sz="0" w:space="0" w:color="auto"/>
      </w:divBdr>
    </w:div>
    <w:div w:id="27875743">
      <w:bodyDiv w:val="1"/>
      <w:marLeft w:val="0"/>
      <w:marRight w:val="0"/>
      <w:marTop w:val="0"/>
      <w:marBottom w:val="0"/>
      <w:divBdr>
        <w:top w:val="none" w:sz="0" w:space="0" w:color="auto"/>
        <w:left w:val="none" w:sz="0" w:space="0" w:color="auto"/>
        <w:bottom w:val="none" w:sz="0" w:space="0" w:color="auto"/>
        <w:right w:val="none" w:sz="0" w:space="0" w:color="auto"/>
      </w:divBdr>
    </w:div>
    <w:div w:id="31462637">
      <w:bodyDiv w:val="1"/>
      <w:marLeft w:val="0"/>
      <w:marRight w:val="0"/>
      <w:marTop w:val="0"/>
      <w:marBottom w:val="0"/>
      <w:divBdr>
        <w:top w:val="none" w:sz="0" w:space="0" w:color="auto"/>
        <w:left w:val="none" w:sz="0" w:space="0" w:color="auto"/>
        <w:bottom w:val="none" w:sz="0" w:space="0" w:color="auto"/>
        <w:right w:val="none" w:sz="0" w:space="0" w:color="auto"/>
      </w:divBdr>
    </w:div>
    <w:div w:id="47267470">
      <w:bodyDiv w:val="1"/>
      <w:marLeft w:val="0"/>
      <w:marRight w:val="0"/>
      <w:marTop w:val="0"/>
      <w:marBottom w:val="0"/>
      <w:divBdr>
        <w:top w:val="none" w:sz="0" w:space="0" w:color="auto"/>
        <w:left w:val="none" w:sz="0" w:space="0" w:color="auto"/>
        <w:bottom w:val="none" w:sz="0" w:space="0" w:color="auto"/>
        <w:right w:val="none" w:sz="0" w:space="0" w:color="auto"/>
      </w:divBdr>
    </w:div>
    <w:div w:id="64184948">
      <w:bodyDiv w:val="1"/>
      <w:marLeft w:val="0"/>
      <w:marRight w:val="0"/>
      <w:marTop w:val="0"/>
      <w:marBottom w:val="0"/>
      <w:divBdr>
        <w:top w:val="none" w:sz="0" w:space="0" w:color="auto"/>
        <w:left w:val="none" w:sz="0" w:space="0" w:color="auto"/>
        <w:bottom w:val="none" w:sz="0" w:space="0" w:color="auto"/>
        <w:right w:val="none" w:sz="0" w:space="0" w:color="auto"/>
      </w:divBdr>
    </w:div>
    <w:div w:id="102850934">
      <w:bodyDiv w:val="1"/>
      <w:marLeft w:val="0"/>
      <w:marRight w:val="0"/>
      <w:marTop w:val="0"/>
      <w:marBottom w:val="0"/>
      <w:divBdr>
        <w:top w:val="none" w:sz="0" w:space="0" w:color="auto"/>
        <w:left w:val="none" w:sz="0" w:space="0" w:color="auto"/>
        <w:bottom w:val="none" w:sz="0" w:space="0" w:color="auto"/>
        <w:right w:val="none" w:sz="0" w:space="0" w:color="auto"/>
      </w:divBdr>
    </w:div>
    <w:div w:id="114833672">
      <w:bodyDiv w:val="1"/>
      <w:marLeft w:val="0"/>
      <w:marRight w:val="0"/>
      <w:marTop w:val="0"/>
      <w:marBottom w:val="0"/>
      <w:divBdr>
        <w:top w:val="none" w:sz="0" w:space="0" w:color="auto"/>
        <w:left w:val="none" w:sz="0" w:space="0" w:color="auto"/>
        <w:bottom w:val="none" w:sz="0" w:space="0" w:color="auto"/>
        <w:right w:val="none" w:sz="0" w:space="0" w:color="auto"/>
      </w:divBdr>
    </w:div>
    <w:div w:id="118842601">
      <w:bodyDiv w:val="1"/>
      <w:marLeft w:val="0"/>
      <w:marRight w:val="0"/>
      <w:marTop w:val="0"/>
      <w:marBottom w:val="0"/>
      <w:divBdr>
        <w:top w:val="none" w:sz="0" w:space="0" w:color="auto"/>
        <w:left w:val="none" w:sz="0" w:space="0" w:color="auto"/>
        <w:bottom w:val="none" w:sz="0" w:space="0" w:color="auto"/>
        <w:right w:val="none" w:sz="0" w:space="0" w:color="auto"/>
      </w:divBdr>
    </w:div>
    <w:div w:id="151068106">
      <w:bodyDiv w:val="1"/>
      <w:marLeft w:val="0"/>
      <w:marRight w:val="0"/>
      <w:marTop w:val="0"/>
      <w:marBottom w:val="0"/>
      <w:divBdr>
        <w:top w:val="none" w:sz="0" w:space="0" w:color="auto"/>
        <w:left w:val="none" w:sz="0" w:space="0" w:color="auto"/>
        <w:bottom w:val="none" w:sz="0" w:space="0" w:color="auto"/>
        <w:right w:val="none" w:sz="0" w:space="0" w:color="auto"/>
      </w:divBdr>
    </w:div>
    <w:div w:id="224417214">
      <w:bodyDiv w:val="1"/>
      <w:marLeft w:val="0"/>
      <w:marRight w:val="0"/>
      <w:marTop w:val="0"/>
      <w:marBottom w:val="0"/>
      <w:divBdr>
        <w:top w:val="none" w:sz="0" w:space="0" w:color="auto"/>
        <w:left w:val="none" w:sz="0" w:space="0" w:color="auto"/>
        <w:bottom w:val="none" w:sz="0" w:space="0" w:color="auto"/>
        <w:right w:val="none" w:sz="0" w:space="0" w:color="auto"/>
      </w:divBdr>
    </w:div>
    <w:div w:id="242032157">
      <w:bodyDiv w:val="1"/>
      <w:marLeft w:val="0"/>
      <w:marRight w:val="0"/>
      <w:marTop w:val="0"/>
      <w:marBottom w:val="0"/>
      <w:divBdr>
        <w:top w:val="none" w:sz="0" w:space="0" w:color="auto"/>
        <w:left w:val="none" w:sz="0" w:space="0" w:color="auto"/>
        <w:bottom w:val="none" w:sz="0" w:space="0" w:color="auto"/>
        <w:right w:val="none" w:sz="0" w:space="0" w:color="auto"/>
      </w:divBdr>
    </w:div>
    <w:div w:id="246504511">
      <w:bodyDiv w:val="1"/>
      <w:marLeft w:val="0"/>
      <w:marRight w:val="0"/>
      <w:marTop w:val="0"/>
      <w:marBottom w:val="0"/>
      <w:divBdr>
        <w:top w:val="none" w:sz="0" w:space="0" w:color="auto"/>
        <w:left w:val="none" w:sz="0" w:space="0" w:color="auto"/>
        <w:bottom w:val="none" w:sz="0" w:space="0" w:color="auto"/>
        <w:right w:val="none" w:sz="0" w:space="0" w:color="auto"/>
      </w:divBdr>
    </w:div>
    <w:div w:id="268129792">
      <w:bodyDiv w:val="1"/>
      <w:marLeft w:val="0"/>
      <w:marRight w:val="0"/>
      <w:marTop w:val="0"/>
      <w:marBottom w:val="0"/>
      <w:divBdr>
        <w:top w:val="none" w:sz="0" w:space="0" w:color="auto"/>
        <w:left w:val="none" w:sz="0" w:space="0" w:color="auto"/>
        <w:bottom w:val="none" w:sz="0" w:space="0" w:color="auto"/>
        <w:right w:val="none" w:sz="0" w:space="0" w:color="auto"/>
      </w:divBdr>
    </w:div>
    <w:div w:id="306711609">
      <w:bodyDiv w:val="1"/>
      <w:marLeft w:val="0"/>
      <w:marRight w:val="0"/>
      <w:marTop w:val="0"/>
      <w:marBottom w:val="0"/>
      <w:divBdr>
        <w:top w:val="none" w:sz="0" w:space="0" w:color="auto"/>
        <w:left w:val="none" w:sz="0" w:space="0" w:color="auto"/>
        <w:bottom w:val="none" w:sz="0" w:space="0" w:color="auto"/>
        <w:right w:val="none" w:sz="0" w:space="0" w:color="auto"/>
      </w:divBdr>
    </w:div>
    <w:div w:id="319192537">
      <w:bodyDiv w:val="1"/>
      <w:marLeft w:val="0"/>
      <w:marRight w:val="0"/>
      <w:marTop w:val="0"/>
      <w:marBottom w:val="0"/>
      <w:divBdr>
        <w:top w:val="none" w:sz="0" w:space="0" w:color="auto"/>
        <w:left w:val="none" w:sz="0" w:space="0" w:color="auto"/>
        <w:bottom w:val="none" w:sz="0" w:space="0" w:color="auto"/>
        <w:right w:val="none" w:sz="0" w:space="0" w:color="auto"/>
      </w:divBdr>
    </w:div>
    <w:div w:id="394746414">
      <w:bodyDiv w:val="1"/>
      <w:marLeft w:val="0"/>
      <w:marRight w:val="0"/>
      <w:marTop w:val="0"/>
      <w:marBottom w:val="0"/>
      <w:divBdr>
        <w:top w:val="none" w:sz="0" w:space="0" w:color="auto"/>
        <w:left w:val="none" w:sz="0" w:space="0" w:color="auto"/>
        <w:bottom w:val="none" w:sz="0" w:space="0" w:color="auto"/>
        <w:right w:val="none" w:sz="0" w:space="0" w:color="auto"/>
      </w:divBdr>
    </w:div>
    <w:div w:id="447358098">
      <w:bodyDiv w:val="1"/>
      <w:marLeft w:val="0"/>
      <w:marRight w:val="0"/>
      <w:marTop w:val="0"/>
      <w:marBottom w:val="0"/>
      <w:divBdr>
        <w:top w:val="none" w:sz="0" w:space="0" w:color="auto"/>
        <w:left w:val="none" w:sz="0" w:space="0" w:color="auto"/>
        <w:bottom w:val="none" w:sz="0" w:space="0" w:color="auto"/>
        <w:right w:val="none" w:sz="0" w:space="0" w:color="auto"/>
      </w:divBdr>
    </w:div>
    <w:div w:id="468596258">
      <w:bodyDiv w:val="1"/>
      <w:marLeft w:val="0"/>
      <w:marRight w:val="0"/>
      <w:marTop w:val="0"/>
      <w:marBottom w:val="0"/>
      <w:divBdr>
        <w:top w:val="none" w:sz="0" w:space="0" w:color="auto"/>
        <w:left w:val="none" w:sz="0" w:space="0" w:color="auto"/>
        <w:bottom w:val="none" w:sz="0" w:space="0" w:color="auto"/>
        <w:right w:val="none" w:sz="0" w:space="0" w:color="auto"/>
      </w:divBdr>
    </w:div>
    <w:div w:id="497886099">
      <w:bodyDiv w:val="1"/>
      <w:marLeft w:val="0"/>
      <w:marRight w:val="0"/>
      <w:marTop w:val="0"/>
      <w:marBottom w:val="0"/>
      <w:divBdr>
        <w:top w:val="none" w:sz="0" w:space="0" w:color="auto"/>
        <w:left w:val="none" w:sz="0" w:space="0" w:color="auto"/>
        <w:bottom w:val="none" w:sz="0" w:space="0" w:color="auto"/>
        <w:right w:val="none" w:sz="0" w:space="0" w:color="auto"/>
      </w:divBdr>
    </w:div>
    <w:div w:id="498732259">
      <w:bodyDiv w:val="1"/>
      <w:marLeft w:val="0"/>
      <w:marRight w:val="0"/>
      <w:marTop w:val="0"/>
      <w:marBottom w:val="0"/>
      <w:divBdr>
        <w:top w:val="none" w:sz="0" w:space="0" w:color="auto"/>
        <w:left w:val="none" w:sz="0" w:space="0" w:color="auto"/>
        <w:bottom w:val="none" w:sz="0" w:space="0" w:color="auto"/>
        <w:right w:val="none" w:sz="0" w:space="0" w:color="auto"/>
      </w:divBdr>
    </w:div>
    <w:div w:id="516580429">
      <w:bodyDiv w:val="1"/>
      <w:marLeft w:val="0"/>
      <w:marRight w:val="0"/>
      <w:marTop w:val="0"/>
      <w:marBottom w:val="0"/>
      <w:divBdr>
        <w:top w:val="none" w:sz="0" w:space="0" w:color="auto"/>
        <w:left w:val="none" w:sz="0" w:space="0" w:color="auto"/>
        <w:bottom w:val="none" w:sz="0" w:space="0" w:color="auto"/>
        <w:right w:val="none" w:sz="0" w:space="0" w:color="auto"/>
      </w:divBdr>
    </w:div>
    <w:div w:id="548302744">
      <w:bodyDiv w:val="1"/>
      <w:marLeft w:val="0"/>
      <w:marRight w:val="0"/>
      <w:marTop w:val="0"/>
      <w:marBottom w:val="0"/>
      <w:divBdr>
        <w:top w:val="none" w:sz="0" w:space="0" w:color="auto"/>
        <w:left w:val="none" w:sz="0" w:space="0" w:color="auto"/>
        <w:bottom w:val="none" w:sz="0" w:space="0" w:color="auto"/>
        <w:right w:val="none" w:sz="0" w:space="0" w:color="auto"/>
      </w:divBdr>
    </w:div>
    <w:div w:id="614599493">
      <w:bodyDiv w:val="1"/>
      <w:marLeft w:val="0"/>
      <w:marRight w:val="0"/>
      <w:marTop w:val="0"/>
      <w:marBottom w:val="0"/>
      <w:divBdr>
        <w:top w:val="none" w:sz="0" w:space="0" w:color="auto"/>
        <w:left w:val="none" w:sz="0" w:space="0" w:color="auto"/>
        <w:bottom w:val="none" w:sz="0" w:space="0" w:color="auto"/>
        <w:right w:val="none" w:sz="0" w:space="0" w:color="auto"/>
      </w:divBdr>
    </w:div>
    <w:div w:id="640234256">
      <w:bodyDiv w:val="1"/>
      <w:marLeft w:val="0"/>
      <w:marRight w:val="0"/>
      <w:marTop w:val="0"/>
      <w:marBottom w:val="0"/>
      <w:divBdr>
        <w:top w:val="none" w:sz="0" w:space="0" w:color="auto"/>
        <w:left w:val="none" w:sz="0" w:space="0" w:color="auto"/>
        <w:bottom w:val="none" w:sz="0" w:space="0" w:color="auto"/>
        <w:right w:val="none" w:sz="0" w:space="0" w:color="auto"/>
      </w:divBdr>
      <w:divsChild>
        <w:div w:id="27926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042704">
      <w:bodyDiv w:val="1"/>
      <w:marLeft w:val="0"/>
      <w:marRight w:val="0"/>
      <w:marTop w:val="0"/>
      <w:marBottom w:val="0"/>
      <w:divBdr>
        <w:top w:val="none" w:sz="0" w:space="0" w:color="auto"/>
        <w:left w:val="none" w:sz="0" w:space="0" w:color="auto"/>
        <w:bottom w:val="none" w:sz="0" w:space="0" w:color="auto"/>
        <w:right w:val="none" w:sz="0" w:space="0" w:color="auto"/>
      </w:divBdr>
      <w:divsChild>
        <w:div w:id="119295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28837">
      <w:bodyDiv w:val="1"/>
      <w:marLeft w:val="0"/>
      <w:marRight w:val="0"/>
      <w:marTop w:val="0"/>
      <w:marBottom w:val="0"/>
      <w:divBdr>
        <w:top w:val="none" w:sz="0" w:space="0" w:color="auto"/>
        <w:left w:val="none" w:sz="0" w:space="0" w:color="auto"/>
        <w:bottom w:val="none" w:sz="0" w:space="0" w:color="auto"/>
        <w:right w:val="none" w:sz="0" w:space="0" w:color="auto"/>
      </w:divBdr>
    </w:div>
    <w:div w:id="753673043">
      <w:bodyDiv w:val="1"/>
      <w:marLeft w:val="0"/>
      <w:marRight w:val="0"/>
      <w:marTop w:val="0"/>
      <w:marBottom w:val="0"/>
      <w:divBdr>
        <w:top w:val="none" w:sz="0" w:space="0" w:color="auto"/>
        <w:left w:val="none" w:sz="0" w:space="0" w:color="auto"/>
        <w:bottom w:val="none" w:sz="0" w:space="0" w:color="auto"/>
        <w:right w:val="none" w:sz="0" w:space="0" w:color="auto"/>
      </w:divBdr>
    </w:div>
    <w:div w:id="760033564">
      <w:bodyDiv w:val="1"/>
      <w:marLeft w:val="0"/>
      <w:marRight w:val="0"/>
      <w:marTop w:val="0"/>
      <w:marBottom w:val="0"/>
      <w:divBdr>
        <w:top w:val="none" w:sz="0" w:space="0" w:color="auto"/>
        <w:left w:val="none" w:sz="0" w:space="0" w:color="auto"/>
        <w:bottom w:val="none" w:sz="0" w:space="0" w:color="auto"/>
        <w:right w:val="none" w:sz="0" w:space="0" w:color="auto"/>
      </w:divBdr>
    </w:div>
    <w:div w:id="762997385">
      <w:bodyDiv w:val="1"/>
      <w:marLeft w:val="0"/>
      <w:marRight w:val="0"/>
      <w:marTop w:val="0"/>
      <w:marBottom w:val="0"/>
      <w:divBdr>
        <w:top w:val="none" w:sz="0" w:space="0" w:color="auto"/>
        <w:left w:val="none" w:sz="0" w:space="0" w:color="auto"/>
        <w:bottom w:val="none" w:sz="0" w:space="0" w:color="auto"/>
        <w:right w:val="none" w:sz="0" w:space="0" w:color="auto"/>
      </w:divBdr>
    </w:div>
    <w:div w:id="763301672">
      <w:bodyDiv w:val="1"/>
      <w:marLeft w:val="0"/>
      <w:marRight w:val="0"/>
      <w:marTop w:val="0"/>
      <w:marBottom w:val="0"/>
      <w:divBdr>
        <w:top w:val="none" w:sz="0" w:space="0" w:color="auto"/>
        <w:left w:val="none" w:sz="0" w:space="0" w:color="auto"/>
        <w:bottom w:val="none" w:sz="0" w:space="0" w:color="auto"/>
        <w:right w:val="none" w:sz="0" w:space="0" w:color="auto"/>
      </w:divBdr>
    </w:div>
    <w:div w:id="792141266">
      <w:bodyDiv w:val="1"/>
      <w:marLeft w:val="0"/>
      <w:marRight w:val="0"/>
      <w:marTop w:val="0"/>
      <w:marBottom w:val="0"/>
      <w:divBdr>
        <w:top w:val="none" w:sz="0" w:space="0" w:color="auto"/>
        <w:left w:val="none" w:sz="0" w:space="0" w:color="auto"/>
        <w:bottom w:val="none" w:sz="0" w:space="0" w:color="auto"/>
        <w:right w:val="none" w:sz="0" w:space="0" w:color="auto"/>
      </w:divBdr>
    </w:div>
    <w:div w:id="792552016">
      <w:bodyDiv w:val="1"/>
      <w:marLeft w:val="0"/>
      <w:marRight w:val="0"/>
      <w:marTop w:val="0"/>
      <w:marBottom w:val="0"/>
      <w:divBdr>
        <w:top w:val="none" w:sz="0" w:space="0" w:color="auto"/>
        <w:left w:val="none" w:sz="0" w:space="0" w:color="auto"/>
        <w:bottom w:val="none" w:sz="0" w:space="0" w:color="auto"/>
        <w:right w:val="none" w:sz="0" w:space="0" w:color="auto"/>
      </w:divBdr>
      <w:divsChild>
        <w:div w:id="162372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544501">
      <w:bodyDiv w:val="1"/>
      <w:marLeft w:val="0"/>
      <w:marRight w:val="0"/>
      <w:marTop w:val="0"/>
      <w:marBottom w:val="0"/>
      <w:divBdr>
        <w:top w:val="none" w:sz="0" w:space="0" w:color="auto"/>
        <w:left w:val="none" w:sz="0" w:space="0" w:color="auto"/>
        <w:bottom w:val="none" w:sz="0" w:space="0" w:color="auto"/>
        <w:right w:val="none" w:sz="0" w:space="0" w:color="auto"/>
      </w:divBdr>
    </w:div>
    <w:div w:id="814562761">
      <w:bodyDiv w:val="1"/>
      <w:marLeft w:val="0"/>
      <w:marRight w:val="0"/>
      <w:marTop w:val="0"/>
      <w:marBottom w:val="0"/>
      <w:divBdr>
        <w:top w:val="none" w:sz="0" w:space="0" w:color="auto"/>
        <w:left w:val="none" w:sz="0" w:space="0" w:color="auto"/>
        <w:bottom w:val="none" w:sz="0" w:space="0" w:color="auto"/>
        <w:right w:val="none" w:sz="0" w:space="0" w:color="auto"/>
      </w:divBdr>
    </w:div>
    <w:div w:id="859513396">
      <w:bodyDiv w:val="1"/>
      <w:marLeft w:val="0"/>
      <w:marRight w:val="0"/>
      <w:marTop w:val="0"/>
      <w:marBottom w:val="0"/>
      <w:divBdr>
        <w:top w:val="none" w:sz="0" w:space="0" w:color="auto"/>
        <w:left w:val="none" w:sz="0" w:space="0" w:color="auto"/>
        <w:bottom w:val="none" w:sz="0" w:space="0" w:color="auto"/>
        <w:right w:val="none" w:sz="0" w:space="0" w:color="auto"/>
      </w:divBdr>
    </w:div>
    <w:div w:id="867721100">
      <w:bodyDiv w:val="1"/>
      <w:marLeft w:val="0"/>
      <w:marRight w:val="0"/>
      <w:marTop w:val="0"/>
      <w:marBottom w:val="0"/>
      <w:divBdr>
        <w:top w:val="none" w:sz="0" w:space="0" w:color="auto"/>
        <w:left w:val="none" w:sz="0" w:space="0" w:color="auto"/>
        <w:bottom w:val="none" w:sz="0" w:space="0" w:color="auto"/>
        <w:right w:val="none" w:sz="0" w:space="0" w:color="auto"/>
      </w:divBdr>
    </w:div>
    <w:div w:id="879702766">
      <w:bodyDiv w:val="1"/>
      <w:marLeft w:val="0"/>
      <w:marRight w:val="0"/>
      <w:marTop w:val="0"/>
      <w:marBottom w:val="0"/>
      <w:divBdr>
        <w:top w:val="none" w:sz="0" w:space="0" w:color="auto"/>
        <w:left w:val="none" w:sz="0" w:space="0" w:color="auto"/>
        <w:bottom w:val="none" w:sz="0" w:space="0" w:color="auto"/>
        <w:right w:val="none" w:sz="0" w:space="0" w:color="auto"/>
      </w:divBdr>
    </w:div>
    <w:div w:id="897012866">
      <w:bodyDiv w:val="1"/>
      <w:marLeft w:val="0"/>
      <w:marRight w:val="0"/>
      <w:marTop w:val="0"/>
      <w:marBottom w:val="0"/>
      <w:divBdr>
        <w:top w:val="none" w:sz="0" w:space="0" w:color="auto"/>
        <w:left w:val="none" w:sz="0" w:space="0" w:color="auto"/>
        <w:bottom w:val="none" w:sz="0" w:space="0" w:color="auto"/>
        <w:right w:val="none" w:sz="0" w:space="0" w:color="auto"/>
      </w:divBdr>
    </w:div>
    <w:div w:id="946623566">
      <w:bodyDiv w:val="1"/>
      <w:marLeft w:val="0"/>
      <w:marRight w:val="0"/>
      <w:marTop w:val="0"/>
      <w:marBottom w:val="0"/>
      <w:divBdr>
        <w:top w:val="none" w:sz="0" w:space="0" w:color="auto"/>
        <w:left w:val="none" w:sz="0" w:space="0" w:color="auto"/>
        <w:bottom w:val="none" w:sz="0" w:space="0" w:color="auto"/>
        <w:right w:val="none" w:sz="0" w:space="0" w:color="auto"/>
      </w:divBdr>
    </w:div>
    <w:div w:id="969363845">
      <w:bodyDiv w:val="1"/>
      <w:marLeft w:val="0"/>
      <w:marRight w:val="0"/>
      <w:marTop w:val="0"/>
      <w:marBottom w:val="0"/>
      <w:divBdr>
        <w:top w:val="none" w:sz="0" w:space="0" w:color="auto"/>
        <w:left w:val="none" w:sz="0" w:space="0" w:color="auto"/>
        <w:bottom w:val="none" w:sz="0" w:space="0" w:color="auto"/>
        <w:right w:val="none" w:sz="0" w:space="0" w:color="auto"/>
      </w:divBdr>
    </w:div>
    <w:div w:id="1033655883">
      <w:bodyDiv w:val="1"/>
      <w:marLeft w:val="0"/>
      <w:marRight w:val="0"/>
      <w:marTop w:val="0"/>
      <w:marBottom w:val="0"/>
      <w:divBdr>
        <w:top w:val="none" w:sz="0" w:space="0" w:color="auto"/>
        <w:left w:val="none" w:sz="0" w:space="0" w:color="auto"/>
        <w:bottom w:val="none" w:sz="0" w:space="0" w:color="auto"/>
        <w:right w:val="none" w:sz="0" w:space="0" w:color="auto"/>
      </w:divBdr>
    </w:div>
    <w:div w:id="1087580742">
      <w:bodyDiv w:val="1"/>
      <w:marLeft w:val="0"/>
      <w:marRight w:val="0"/>
      <w:marTop w:val="0"/>
      <w:marBottom w:val="0"/>
      <w:divBdr>
        <w:top w:val="none" w:sz="0" w:space="0" w:color="auto"/>
        <w:left w:val="none" w:sz="0" w:space="0" w:color="auto"/>
        <w:bottom w:val="none" w:sz="0" w:space="0" w:color="auto"/>
        <w:right w:val="none" w:sz="0" w:space="0" w:color="auto"/>
      </w:divBdr>
    </w:div>
    <w:div w:id="1149402743">
      <w:bodyDiv w:val="1"/>
      <w:marLeft w:val="0"/>
      <w:marRight w:val="0"/>
      <w:marTop w:val="0"/>
      <w:marBottom w:val="0"/>
      <w:divBdr>
        <w:top w:val="none" w:sz="0" w:space="0" w:color="auto"/>
        <w:left w:val="none" w:sz="0" w:space="0" w:color="auto"/>
        <w:bottom w:val="none" w:sz="0" w:space="0" w:color="auto"/>
        <w:right w:val="none" w:sz="0" w:space="0" w:color="auto"/>
      </w:divBdr>
    </w:div>
    <w:div w:id="1183327226">
      <w:bodyDiv w:val="1"/>
      <w:marLeft w:val="0"/>
      <w:marRight w:val="0"/>
      <w:marTop w:val="0"/>
      <w:marBottom w:val="0"/>
      <w:divBdr>
        <w:top w:val="none" w:sz="0" w:space="0" w:color="auto"/>
        <w:left w:val="none" w:sz="0" w:space="0" w:color="auto"/>
        <w:bottom w:val="none" w:sz="0" w:space="0" w:color="auto"/>
        <w:right w:val="none" w:sz="0" w:space="0" w:color="auto"/>
      </w:divBdr>
    </w:div>
    <w:div w:id="1192962131">
      <w:bodyDiv w:val="1"/>
      <w:marLeft w:val="0"/>
      <w:marRight w:val="0"/>
      <w:marTop w:val="0"/>
      <w:marBottom w:val="0"/>
      <w:divBdr>
        <w:top w:val="none" w:sz="0" w:space="0" w:color="auto"/>
        <w:left w:val="none" w:sz="0" w:space="0" w:color="auto"/>
        <w:bottom w:val="none" w:sz="0" w:space="0" w:color="auto"/>
        <w:right w:val="none" w:sz="0" w:space="0" w:color="auto"/>
      </w:divBdr>
    </w:div>
    <w:div w:id="1255936639">
      <w:bodyDiv w:val="1"/>
      <w:marLeft w:val="0"/>
      <w:marRight w:val="0"/>
      <w:marTop w:val="0"/>
      <w:marBottom w:val="0"/>
      <w:divBdr>
        <w:top w:val="none" w:sz="0" w:space="0" w:color="auto"/>
        <w:left w:val="none" w:sz="0" w:space="0" w:color="auto"/>
        <w:bottom w:val="none" w:sz="0" w:space="0" w:color="auto"/>
        <w:right w:val="none" w:sz="0" w:space="0" w:color="auto"/>
      </w:divBdr>
    </w:div>
    <w:div w:id="1263076283">
      <w:bodyDiv w:val="1"/>
      <w:marLeft w:val="0"/>
      <w:marRight w:val="0"/>
      <w:marTop w:val="0"/>
      <w:marBottom w:val="0"/>
      <w:divBdr>
        <w:top w:val="none" w:sz="0" w:space="0" w:color="auto"/>
        <w:left w:val="none" w:sz="0" w:space="0" w:color="auto"/>
        <w:bottom w:val="none" w:sz="0" w:space="0" w:color="auto"/>
        <w:right w:val="none" w:sz="0" w:space="0" w:color="auto"/>
      </w:divBdr>
    </w:div>
    <w:div w:id="1277058834">
      <w:bodyDiv w:val="1"/>
      <w:marLeft w:val="0"/>
      <w:marRight w:val="0"/>
      <w:marTop w:val="0"/>
      <w:marBottom w:val="0"/>
      <w:divBdr>
        <w:top w:val="none" w:sz="0" w:space="0" w:color="auto"/>
        <w:left w:val="none" w:sz="0" w:space="0" w:color="auto"/>
        <w:bottom w:val="none" w:sz="0" w:space="0" w:color="auto"/>
        <w:right w:val="none" w:sz="0" w:space="0" w:color="auto"/>
      </w:divBdr>
    </w:div>
    <w:div w:id="1381906255">
      <w:bodyDiv w:val="1"/>
      <w:marLeft w:val="0"/>
      <w:marRight w:val="0"/>
      <w:marTop w:val="0"/>
      <w:marBottom w:val="0"/>
      <w:divBdr>
        <w:top w:val="none" w:sz="0" w:space="0" w:color="auto"/>
        <w:left w:val="none" w:sz="0" w:space="0" w:color="auto"/>
        <w:bottom w:val="none" w:sz="0" w:space="0" w:color="auto"/>
        <w:right w:val="none" w:sz="0" w:space="0" w:color="auto"/>
      </w:divBdr>
    </w:div>
    <w:div w:id="1494107322">
      <w:bodyDiv w:val="1"/>
      <w:marLeft w:val="0"/>
      <w:marRight w:val="0"/>
      <w:marTop w:val="0"/>
      <w:marBottom w:val="0"/>
      <w:divBdr>
        <w:top w:val="none" w:sz="0" w:space="0" w:color="auto"/>
        <w:left w:val="none" w:sz="0" w:space="0" w:color="auto"/>
        <w:bottom w:val="none" w:sz="0" w:space="0" w:color="auto"/>
        <w:right w:val="none" w:sz="0" w:space="0" w:color="auto"/>
      </w:divBdr>
    </w:div>
    <w:div w:id="1508717541">
      <w:bodyDiv w:val="1"/>
      <w:marLeft w:val="0"/>
      <w:marRight w:val="0"/>
      <w:marTop w:val="0"/>
      <w:marBottom w:val="0"/>
      <w:divBdr>
        <w:top w:val="none" w:sz="0" w:space="0" w:color="auto"/>
        <w:left w:val="none" w:sz="0" w:space="0" w:color="auto"/>
        <w:bottom w:val="none" w:sz="0" w:space="0" w:color="auto"/>
        <w:right w:val="none" w:sz="0" w:space="0" w:color="auto"/>
      </w:divBdr>
      <w:divsChild>
        <w:div w:id="102387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02586">
      <w:bodyDiv w:val="1"/>
      <w:marLeft w:val="0"/>
      <w:marRight w:val="0"/>
      <w:marTop w:val="0"/>
      <w:marBottom w:val="0"/>
      <w:divBdr>
        <w:top w:val="none" w:sz="0" w:space="0" w:color="auto"/>
        <w:left w:val="none" w:sz="0" w:space="0" w:color="auto"/>
        <w:bottom w:val="none" w:sz="0" w:space="0" w:color="auto"/>
        <w:right w:val="none" w:sz="0" w:space="0" w:color="auto"/>
      </w:divBdr>
    </w:div>
    <w:div w:id="1653748765">
      <w:bodyDiv w:val="1"/>
      <w:marLeft w:val="0"/>
      <w:marRight w:val="0"/>
      <w:marTop w:val="0"/>
      <w:marBottom w:val="0"/>
      <w:divBdr>
        <w:top w:val="none" w:sz="0" w:space="0" w:color="auto"/>
        <w:left w:val="none" w:sz="0" w:space="0" w:color="auto"/>
        <w:bottom w:val="none" w:sz="0" w:space="0" w:color="auto"/>
        <w:right w:val="none" w:sz="0" w:space="0" w:color="auto"/>
      </w:divBdr>
    </w:div>
    <w:div w:id="1676884492">
      <w:bodyDiv w:val="1"/>
      <w:marLeft w:val="0"/>
      <w:marRight w:val="0"/>
      <w:marTop w:val="0"/>
      <w:marBottom w:val="0"/>
      <w:divBdr>
        <w:top w:val="none" w:sz="0" w:space="0" w:color="auto"/>
        <w:left w:val="none" w:sz="0" w:space="0" w:color="auto"/>
        <w:bottom w:val="none" w:sz="0" w:space="0" w:color="auto"/>
        <w:right w:val="none" w:sz="0" w:space="0" w:color="auto"/>
      </w:divBdr>
    </w:div>
    <w:div w:id="1689481673">
      <w:bodyDiv w:val="1"/>
      <w:marLeft w:val="0"/>
      <w:marRight w:val="0"/>
      <w:marTop w:val="0"/>
      <w:marBottom w:val="0"/>
      <w:divBdr>
        <w:top w:val="none" w:sz="0" w:space="0" w:color="auto"/>
        <w:left w:val="none" w:sz="0" w:space="0" w:color="auto"/>
        <w:bottom w:val="none" w:sz="0" w:space="0" w:color="auto"/>
        <w:right w:val="none" w:sz="0" w:space="0" w:color="auto"/>
      </w:divBdr>
    </w:div>
    <w:div w:id="1693535888">
      <w:bodyDiv w:val="1"/>
      <w:marLeft w:val="0"/>
      <w:marRight w:val="0"/>
      <w:marTop w:val="0"/>
      <w:marBottom w:val="0"/>
      <w:divBdr>
        <w:top w:val="none" w:sz="0" w:space="0" w:color="auto"/>
        <w:left w:val="none" w:sz="0" w:space="0" w:color="auto"/>
        <w:bottom w:val="none" w:sz="0" w:space="0" w:color="auto"/>
        <w:right w:val="none" w:sz="0" w:space="0" w:color="auto"/>
      </w:divBdr>
    </w:div>
    <w:div w:id="1702319647">
      <w:bodyDiv w:val="1"/>
      <w:marLeft w:val="0"/>
      <w:marRight w:val="0"/>
      <w:marTop w:val="0"/>
      <w:marBottom w:val="0"/>
      <w:divBdr>
        <w:top w:val="none" w:sz="0" w:space="0" w:color="auto"/>
        <w:left w:val="none" w:sz="0" w:space="0" w:color="auto"/>
        <w:bottom w:val="none" w:sz="0" w:space="0" w:color="auto"/>
        <w:right w:val="none" w:sz="0" w:space="0" w:color="auto"/>
      </w:divBdr>
    </w:div>
    <w:div w:id="1712923343">
      <w:bodyDiv w:val="1"/>
      <w:marLeft w:val="0"/>
      <w:marRight w:val="0"/>
      <w:marTop w:val="0"/>
      <w:marBottom w:val="0"/>
      <w:divBdr>
        <w:top w:val="none" w:sz="0" w:space="0" w:color="auto"/>
        <w:left w:val="none" w:sz="0" w:space="0" w:color="auto"/>
        <w:bottom w:val="none" w:sz="0" w:space="0" w:color="auto"/>
        <w:right w:val="none" w:sz="0" w:space="0" w:color="auto"/>
      </w:divBdr>
    </w:div>
    <w:div w:id="1810243192">
      <w:bodyDiv w:val="1"/>
      <w:marLeft w:val="0"/>
      <w:marRight w:val="0"/>
      <w:marTop w:val="0"/>
      <w:marBottom w:val="0"/>
      <w:divBdr>
        <w:top w:val="none" w:sz="0" w:space="0" w:color="auto"/>
        <w:left w:val="none" w:sz="0" w:space="0" w:color="auto"/>
        <w:bottom w:val="none" w:sz="0" w:space="0" w:color="auto"/>
        <w:right w:val="none" w:sz="0" w:space="0" w:color="auto"/>
      </w:divBdr>
    </w:div>
    <w:div w:id="1813016924">
      <w:bodyDiv w:val="1"/>
      <w:marLeft w:val="0"/>
      <w:marRight w:val="0"/>
      <w:marTop w:val="0"/>
      <w:marBottom w:val="0"/>
      <w:divBdr>
        <w:top w:val="none" w:sz="0" w:space="0" w:color="auto"/>
        <w:left w:val="none" w:sz="0" w:space="0" w:color="auto"/>
        <w:bottom w:val="none" w:sz="0" w:space="0" w:color="auto"/>
        <w:right w:val="none" w:sz="0" w:space="0" w:color="auto"/>
      </w:divBdr>
    </w:div>
    <w:div w:id="1864977506">
      <w:bodyDiv w:val="1"/>
      <w:marLeft w:val="0"/>
      <w:marRight w:val="0"/>
      <w:marTop w:val="0"/>
      <w:marBottom w:val="0"/>
      <w:divBdr>
        <w:top w:val="none" w:sz="0" w:space="0" w:color="auto"/>
        <w:left w:val="none" w:sz="0" w:space="0" w:color="auto"/>
        <w:bottom w:val="none" w:sz="0" w:space="0" w:color="auto"/>
        <w:right w:val="none" w:sz="0" w:space="0" w:color="auto"/>
      </w:divBdr>
      <w:divsChild>
        <w:div w:id="26800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6551">
      <w:bodyDiv w:val="1"/>
      <w:marLeft w:val="0"/>
      <w:marRight w:val="0"/>
      <w:marTop w:val="0"/>
      <w:marBottom w:val="0"/>
      <w:divBdr>
        <w:top w:val="none" w:sz="0" w:space="0" w:color="auto"/>
        <w:left w:val="none" w:sz="0" w:space="0" w:color="auto"/>
        <w:bottom w:val="none" w:sz="0" w:space="0" w:color="auto"/>
        <w:right w:val="none" w:sz="0" w:space="0" w:color="auto"/>
      </w:divBdr>
    </w:div>
    <w:div w:id="1928539511">
      <w:bodyDiv w:val="1"/>
      <w:marLeft w:val="0"/>
      <w:marRight w:val="0"/>
      <w:marTop w:val="0"/>
      <w:marBottom w:val="0"/>
      <w:divBdr>
        <w:top w:val="none" w:sz="0" w:space="0" w:color="auto"/>
        <w:left w:val="none" w:sz="0" w:space="0" w:color="auto"/>
        <w:bottom w:val="none" w:sz="0" w:space="0" w:color="auto"/>
        <w:right w:val="none" w:sz="0" w:space="0" w:color="auto"/>
      </w:divBdr>
    </w:div>
    <w:div w:id="1956281421">
      <w:bodyDiv w:val="1"/>
      <w:marLeft w:val="0"/>
      <w:marRight w:val="0"/>
      <w:marTop w:val="0"/>
      <w:marBottom w:val="0"/>
      <w:divBdr>
        <w:top w:val="none" w:sz="0" w:space="0" w:color="auto"/>
        <w:left w:val="none" w:sz="0" w:space="0" w:color="auto"/>
        <w:bottom w:val="none" w:sz="0" w:space="0" w:color="auto"/>
        <w:right w:val="none" w:sz="0" w:space="0" w:color="auto"/>
      </w:divBdr>
      <w:divsChild>
        <w:div w:id="190817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908842">
      <w:bodyDiv w:val="1"/>
      <w:marLeft w:val="0"/>
      <w:marRight w:val="0"/>
      <w:marTop w:val="0"/>
      <w:marBottom w:val="0"/>
      <w:divBdr>
        <w:top w:val="none" w:sz="0" w:space="0" w:color="auto"/>
        <w:left w:val="none" w:sz="0" w:space="0" w:color="auto"/>
        <w:bottom w:val="none" w:sz="0" w:space="0" w:color="auto"/>
        <w:right w:val="none" w:sz="0" w:space="0" w:color="auto"/>
      </w:divBdr>
      <w:divsChild>
        <w:div w:id="1865052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937302">
      <w:bodyDiv w:val="1"/>
      <w:marLeft w:val="0"/>
      <w:marRight w:val="0"/>
      <w:marTop w:val="0"/>
      <w:marBottom w:val="0"/>
      <w:divBdr>
        <w:top w:val="none" w:sz="0" w:space="0" w:color="auto"/>
        <w:left w:val="none" w:sz="0" w:space="0" w:color="auto"/>
        <w:bottom w:val="none" w:sz="0" w:space="0" w:color="auto"/>
        <w:right w:val="none" w:sz="0" w:space="0" w:color="auto"/>
      </w:divBdr>
    </w:div>
    <w:div w:id="2109538811">
      <w:bodyDiv w:val="1"/>
      <w:marLeft w:val="0"/>
      <w:marRight w:val="0"/>
      <w:marTop w:val="0"/>
      <w:marBottom w:val="0"/>
      <w:divBdr>
        <w:top w:val="none" w:sz="0" w:space="0" w:color="auto"/>
        <w:left w:val="none" w:sz="0" w:space="0" w:color="auto"/>
        <w:bottom w:val="none" w:sz="0" w:space="0" w:color="auto"/>
        <w:right w:val="none" w:sz="0" w:space="0" w:color="auto"/>
      </w:divBdr>
    </w:div>
    <w:div w:id="21222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E927-5EAD-4DFC-8444-5D9247B4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Greenbaum</dc:creator>
  <cp:keywords/>
  <dc:description/>
  <cp:lastModifiedBy>Aaron Greenbaum</cp:lastModifiedBy>
  <cp:revision>37</cp:revision>
  <dcterms:created xsi:type="dcterms:W3CDTF">2015-10-06T16:16:00Z</dcterms:created>
  <dcterms:modified xsi:type="dcterms:W3CDTF">2015-10-08T21:29:00Z</dcterms:modified>
</cp:coreProperties>
</file>