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0" w:rsidRDefault="002E7900" w:rsidP="00D02473">
      <w:pPr>
        <w:suppressAutoHyphens/>
        <w:rPr>
          <w:b/>
          <w:bCs/>
        </w:rPr>
      </w:pPr>
    </w:p>
    <w:p w:rsidR="00D02473" w:rsidRDefault="005E08A2" w:rsidP="00580519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MARKET UPDATE </w:t>
      </w:r>
      <w:r w:rsidR="00E8066B">
        <w:rPr>
          <w:b/>
          <w:bCs/>
        </w:rPr>
        <w:t>ON THE STATE OF YACHT LENDING</w:t>
      </w:r>
    </w:p>
    <w:p w:rsidR="00A20972" w:rsidRDefault="00A20972" w:rsidP="00580519">
      <w:pPr>
        <w:suppressAutoHyphens/>
        <w:jc w:val="center"/>
        <w:rPr>
          <w:b/>
          <w:bCs/>
        </w:rPr>
      </w:pPr>
      <w:r>
        <w:rPr>
          <w:b/>
          <w:bCs/>
        </w:rPr>
        <w:t>Maritime Law Association</w:t>
      </w:r>
    </w:p>
    <w:p w:rsidR="00E8066B" w:rsidRDefault="00E8066B" w:rsidP="00580519">
      <w:pPr>
        <w:suppressAutoHyphens/>
        <w:jc w:val="center"/>
        <w:rPr>
          <w:b/>
          <w:bCs/>
        </w:rPr>
      </w:pPr>
      <w:r>
        <w:rPr>
          <w:b/>
          <w:bCs/>
        </w:rPr>
        <w:t>G. Robert Toney, Vice Chair, Yacht Finance Committee</w:t>
      </w:r>
    </w:p>
    <w:p w:rsidR="00A20972" w:rsidRDefault="00F259F2" w:rsidP="00580519">
      <w:pPr>
        <w:suppressAutoHyphens/>
        <w:jc w:val="center"/>
      </w:pPr>
      <w:r>
        <w:rPr>
          <w:b/>
          <w:bCs/>
        </w:rPr>
        <w:t>October 26, 2015</w:t>
      </w:r>
    </w:p>
    <w:p w:rsidR="00D02473" w:rsidRDefault="00D02473" w:rsidP="00D02473">
      <w:pPr>
        <w:suppressAutoHyphens/>
        <w:rPr>
          <w:b/>
          <w:bCs/>
        </w:rPr>
      </w:pPr>
    </w:p>
    <w:p w:rsidR="00D02473" w:rsidRDefault="00D02473" w:rsidP="00886BCB">
      <w:pPr>
        <w:suppressAutoHyphens/>
        <w:rPr>
          <w:b/>
          <w:bCs/>
        </w:rPr>
      </w:pPr>
    </w:p>
    <w:p w:rsidR="00886BCB" w:rsidRDefault="00886BCB" w:rsidP="00886BCB">
      <w:pPr>
        <w:suppressAutoHyphens/>
        <w:rPr>
          <w:bCs/>
        </w:rPr>
      </w:pPr>
      <w:r>
        <w:rPr>
          <w:bCs/>
        </w:rPr>
        <w:t xml:space="preserve">Recreational </w:t>
      </w:r>
      <w:r w:rsidR="00A20972">
        <w:rPr>
          <w:bCs/>
        </w:rPr>
        <w:t>Retail Consumer Marine</w:t>
      </w:r>
      <w:r>
        <w:rPr>
          <w:bCs/>
        </w:rPr>
        <w:t xml:space="preserve"> Loan Overview</w:t>
      </w:r>
    </w:p>
    <w:p w:rsidR="00886BCB" w:rsidRDefault="00035430" w:rsidP="00886BCB">
      <w:pPr>
        <w:suppressAutoHyphens/>
        <w:rPr>
          <w:bCs/>
        </w:rPr>
      </w:pPr>
      <w:r>
        <w:rPr>
          <w:bCs/>
        </w:rPr>
        <w:tab/>
        <w:t>Active</w:t>
      </w:r>
      <w:r w:rsidR="00886BCB">
        <w:rPr>
          <w:bCs/>
        </w:rPr>
        <w:t xml:space="preserve"> Lenders</w:t>
      </w:r>
    </w:p>
    <w:p w:rsidR="00C77583" w:rsidRDefault="0064430F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C77583">
        <w:rPr>
          <w:bCs/>
        </w:rPr>
        <w:t>SunTrust</w:t>
      </w:r>
    </w:p>
    <w:p w:rsidR="0064430F" w:rsidRDefault="00C77583" w:rsidP="00C77583">
      <w:pPr>
        <w:suppressAutoHyphens/>
        <w:ind w:left="720" w:firstLine="720"/>
        <w:rPr>
          <w:bCs/>
        </w:rPr>
      </w:pPr>
      <w:r>
        <w:rPr>
          <w:bCs/>
        </w:rPr>
        <w:t>US Bank</w:t>
      </w:r>
    </w:p>
    <w:p w:rsidR="0064430F" w:rsidRDefault="0064430F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BB&amp;T</w:t>
      </w:r>
    </w:p>
    <w:p w:rsidR="001E4B08" w:rsidRDefault="001E4B08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M&amp;T Bank</w:t>
      </w:r>
    </w:p>
    <w:p w:rsidR="00C77583" w:rsidRDefault="00C77583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First Merit (Regional)</w:t>
      </w:r>
    </w:p>
    <w:p w:rsidR="00F259F2" w:rsidRDefault="00F259F2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F5954">
        <w:rPr>
          <w:bCs/>
        </w:rPr>
        <w:t>US Alliance Credit Union</w:t>
      </w:r>
    </w:p>
    <w:p w:rsidR="00A87007" w:rsidRDefault="00A87007" w:rsidP="00886BCB">
      <w:pPr>
        <w:suppressAutoHyphens/>
        <w:rPr>
          <w:bCs/>
        </w:rPr>
      </w:pPr>
    </w:p>
    <w:p w:rsidR="00A87007" w:rsidRDefault="00A87007" w:rsidP="00886BCB">
      <w:pPr>
        <w:suppressAutoHyphens/>
        <w:rPr>
          <w:bCs/>
        </w:rPr>
      </w:pPr>
      <w:r>
        <w:rPr>
          <w:bCs/>
        </w:rPr>
        <w:tab/>
        <w:t>Wealth Product-High End</w:t>
      </w:r>
    </w:p>
    <w:p w:rsidR="00A87007" w:rsidRDefault="00A87007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Bank United, FL</w:t>
      </w:r>
    </w:p>
    <w:p w:rsidR="00A87007" w:rsidRDefault="00A87007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US Trust (BofA)</w:t>
      </w:r>
    </w:p>
    <w:p w:rsidR="00A87007" w:rsidRDefault="00A87007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Iberia</w:t>
      </w:r>
    </w:p>
    <w:p w:rsidR="007F5954" w:rsidRDefault="007F5954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F5954">
        <w:rPr>
          <w:bCs/>
        </w:rPr>
        <w:t>Commercial Transactions (multiple collateral)</w:t>
      </w:r>
    </w:p>
    <w:p w:rsidR="00A87007" w:rsidRDefault="00A87007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374F25" w:rsidRDefault="00374F25" w:rsidP="00886BCB">
      <w:pPr>
        <w:suppressAutoHyphens/>
        <w:rPr>
          <w:bCs/>
        </w:rPr>
      </w:pPr>
    </w:p>
    <w:p w:rsidR="00886BCB" w:rsidRDefault="00886BCB" w:rsidP="00886BCB">
      <w:pPr>
        <w:suppressAutoHyphens/>
        <w:rPr>
          <w:bCs/>
        </w:rPr>
      </w:pPr>
      <w:r>
        <w:rPr>
          <w:bCs/>
        </w:rPr>
        <w:tab/>
        <w:t>New Participants</w:t>
      </w:r>
      <w:r w:rsidR="006208E8">
        <w:rPr>
          <w:bCs/>
        </w:rPr>
        <w:t>/Acquisitions</w:t>
      </w:r>
    </w:p>
    <w:p w:rsidR="00A20972" w:rsidRDefault="00A20972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Shore Premier-Bank of Hampton Roads</w:t>
      </w:r>
    </w:p>
    <w:p w:rsidR="00A20972" w:rsidRDefault="00A20972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United Bank, CT. acquired CGI Platform</w:t>
      </w:r>
    </w:p>
    <w:p w:rsidR="00B4572D" w:rsidRDefault="00B4572D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Iberia</w:t>
      </w:r>
      <w:r w:rsidR="00A01C2E">
        <w:rPr>
          <w:bCs/>
        </w:rPr>
        <w:t xml:space="preserve"> Bank</w:t>
      </w:r>
      <w:r>
        <w:rPr>
          <w:bCs/>
        </w:rPr>
        <w:t>, LA</w:t>
      </w:r>
    </w:p>
    <w:p w:rsidR="00747AD7" w:rsidRDefault="00747AD7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Bank of the Ozarks acquired C&amp;S Bank, (GA) and C-1 Bank (FL).</w:t>
      </w:r>
    </w:p>
    <w:p w:rsidR="00947E9A" w:rsidRDefault="00947E9A" w:rsidP="00947E9A">
      <w:pPr>
        <w:suppressAutoHyphens/>
        <w:ind w:left="720" w:firstLine="720"/>
        <w:rPr>
          <w:bCs/>
        </w:rPr>
      </w:pPr>
      <w:r>
        <w:rPr>
          <w:bCs/>
        </w:rPr>
        <w:t>BoatFinance, LLC</w:t>
      </w:r>
    </w:p>
    <w:p w:rsidR="00C77583" w:rsidRDefault="00C77583" w:rsidP="00947E9A">
      <w:pPr>
        <w:suppressAutoHyphens/>
        <w:ind w:left="720" w:firstLine="720"/>
        <w:rPr>
          <w:bCs/>
        </w:rPr>
      </w:pPr>
      <w:r>
        <w:rPr>
          <w:bCs/>
        </w:rPr>
        <w:t>Hudson United</w:t>
      </w:r>
    </w:p>
    <w:p w:rsidR="006208E8" w:rsidRDefault="006208E8" w:rsidP="00947E9A">
      <w:pPr>
        <w:suppressAutoHyphens/>
        <w:ind w:left="720" w:firstLine="720"/>
        <w:rPr>
          <w:bCs/>
        </w:rPr>
      </w:pPr>
      <w:r>
        <w:rPr>
          <w:bCs/>
        </w:rPr>
        <w:t xml:space="preserve">Key Bank Merger with First Niagara  </w:t>
      </w:r>
    </w:p>
    <w:p w:rsidR="006208E8" w:rsidRDefault="006208E8" w:rsidP="00947E9A">
      <w:pPr>
        <w:suppressAutoHyphens/>
        <w:ind w:left="720" w:firstLine="720"/>
        <w:rPr>
          <w:bCs/>
        </w:rPr>
      </w:pPr>
      <w:r>
        <w:rPr>
          <w:bCs/>
        </w:rPr>
        <w:t>Increase in Branch Originations</w:t>
      </w:r>
    </w:p>
    <w:p w:rsidR="00A01C2E" w:rsidRDefault="00D724E2" w:rsidP="00A01C2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A01C2E" w:rsidRDefault="00A01C2E" w:rsidP="00886BCB">
      <w:pPr>
        <w:suppressAutoHyphens/>
        <w:rPr>
          <w:bCs/>
        </w:rPr>
      </w:pPr>
    </w:p>
    <w:p w:rsidR="00886BCB" w:rsidRDefault="00886BCB" w:rsidP="00886BCB">
      <w:pPr>
        <w:suppressAutoHyphens/>
        <w:rPr>
          <w:bCs/>
        </w:rPr>
      </w:pPr>
      <w:r>
        <w:rPr>
          <w:bCs/>
        </w:rPr>
        <w:tab/>
        <w:t xml:space="preserve">High </w:t>
      </w:r>
      <w:r w:rsidR="00A01C2E">
        <w:rPr>
          <w:bCs/>
        </w:rPr>
        <w:t>Rate</w:t>
      </w:r>
      <w:r w:rsidR="00EE4E24">
        <w:rPr>
          <w:bCs/>
        </w:rPr>
        <w:t>/High</w:t>
      </w:r>
      <w:r w:rsidR="00A01C2E">
        <w:rPr>
          <w:bCs/>
        </w:rPr>
        <w:t xml:space="preserve"> </w:t>
      </w:r>
      <w:r>
        <w:rPr>
          <w:bCs/>
        </w:rPr>
        <w:t>Risk Lenders</w:t>
      </w:r>
    </w:p>
    <w:p w:rsidR="00A01C2E" w:rsidRDefault="00A01C2E" w:rsidP="00A01C2E">
      <w:pPr>
        <w:suppressAutoHyphens/>
        <w:ind w:left="720" w:firstLine="720"/>
        <w:rPr>
          <w:bCs/>
        </w:rPr>
      </w:pPr>
      <w:r>
        <w:rPr>
          <w:bCs/>
        </w:rPr>
        <w:t xml:space="preserve">LightStream (SunTrust </w:t>
      </w:r>
      <w:r w:rsidR="00747AD7">
        <w:rPr>
          <w:bCs/>
        </w:rPr>
        <w:t>Acquisition</w:t>
      </w:r>
      <w:r>
        <w:rPr>
          <w:bCs/>
        </w:rPr>
        <w:t>)</w:t>
      </w:r>
      <w:r w:rsidR="00EE50D5">
        <w:rPr>
          <w:bCs/>
        </w:rPr>
        <w:t xml:space="preserve"> Up to $75,000</w:t>
      </w:r>
    </w:p>
    <w:p w:rsidR="00A01C2E" w:rsidRDefault="00A01C2E" w:rsidP="00A01C2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BoatFinance, LLC</w:t>
      </w:r>
      <w:r w:rsidR="00D14401">
        <w:rPr>
          <w:bCs/>
        </w:rPr>
        <w:t xml:space="preserve"> (Funded by Private Capital)</w:t>
      </w:r>
      <w:r w:rsidR="00EE50D5">
        <w:rPr>
          <w:bCs/>
        </w:rPr>
        <w:t xml:space="preserve"> Up to $75,000</w:t>
      </w:r>
    </w:p>
    <w:p w:rsidR="00A01C2E" w:rsidRDefault="00A01C2E" w:rsidP="00A01C2E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Medallion</w:t>
      </w:r>
      <w:r w:rsidR="00EE50D5" w:rsidRPr="00EE50D5">
        <w:rPr>
          <w:bCs/>
        </w:rPr>
        <w:t xml:space="preserve"> </w:t>
      </w:r>
      <w:r w:rsidR="00EE50D5">
        <w:rPr>
          <w:bCs/>
        </w:rPr>
        <w:t>Up to $75,000</w:t>
      </w:r>
    </w:p>
    <w:p w:rsidR="00A01C2E" w:rsidRDefault="00A01C2E" w:rsidP="00886BC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ST Liberty/Maritime Capital</w:t>
      </w:r>
      <w:r w:rsidR="00EE50D5">
        <w:rPr>
          <w:bCs/>
        </w:rPr>
        <w:t>, $100,000 to $500,000</w:t>
      </w:r>
    </w:p>
    <w:p w:rsidR="00886BCB" w:rsidRDefault="00886BCB" w:rsidP="00886BCB">
      <w:pPr>
        <w:suppressAutoHyphens/>
        <w:rPr>
          <w:bCs/>
        </w:rPr>
      </w:pPr>
    </w:p>
    <w:p w:rsidR="00886BCB" w:rsidRPr="00886BCB" w:rsidRDefault="00886BCB" w:rsidP="00886BCB">
      <w:pPr>
        <w:suppressAutoHyphens/>
        <w:rPr>
          <w:bCs/>
        </w:rPr>
      </w:pPr>
      <w:r>
        <w:rPr>
          <w:bCs/>
        </w:rPr>
        <w:t>Floorplan (Wholesale) Market Update</w:t>
      </w:r>
    </w:p>
    <w:p w:rsidR="00886BCB" w:rsidRDefault="00886BCB" w:rsidP="00D02473">
      <w:pPr>
        <w:suppressAutoHyphens/>
        <w:rPr>
          <w:bCs/>
        </w:rPr>
      </w:pPr>
      <w:r>
        <w:rPr>
          <w:b/>
          <w:bCs/>
        </w:rPr>
        <w:tab/>
      </w:r>
      <w:r w:rsidRPr="00747AD7">
        <w:rPr>
          <w:bCs/>
        </w:rPr>
        <w:t>Wells Fargo</w:t>
      </w:r>
      <w:r w:rsidR="006208E8">
        <w:rPr>
          <w:bCs/>
        </w:rPr>
        <w:t>-current reputation challenges</w:t>
      </w:r>
    </w:p>
    <w:p w:rsidR="00A20972" w:rsidRDefault="00A20972" w:rsidP="00D02473">
      <w:pPr>
        <w:suppressAutoHyphens/>
        <w:rPr>
          <w:bCs/>
        </w:rPr>
      </w:pPr>
      <w:r>
        <w:rPr>
          <w:bCs/>
        </w:rPr>
        <w:tab/>
        <w:t>Northpoint</w:t>
      </w:r>
    </w:p>
    <w:p w:rsidR="00A20972" w:rsidRDefault="00A20972" w:rsidP="00D02473">
      <w:pPr>
        <w:suppressAutoHyphens/>
        <w:rPr>
          <w:bCs/>
        </w:rPr>
      </w:pPr>
      <w:r>
        <w:rPr>
          <w:bCs/>
        </w:rPr>
        <w:tab/>
        <w:t>NextGear Capital (Cox Automotive-Manheim)</w:t>
      </w:r>
    </w:p>
    <w:p w:rsidR="006208E8" w:rsidRDefault="006208E8" w:rsidP="00D02473">
      <w:pPr>
        <w:suppressAutoHyphens/>
        <w:rPr>
          <w:bCs/>
        </w:rPr>
      </w:pPr>
    </w:p>
    <w:p w:rsidR="00056F33" w:rsidRDefault="00056F33" w:rsidP="00D02473">
      <w:pPr>
        <w:suppressAutoHyphens/>
        <w:rPr>
          <w:bCs/>
        </w:rPr>
      </w:pPr>
    </w:p>
    <w:p w:rsidR="00056F33" w:rsidRDefault="00056F33" w:rsidP="00D02473">
      <w:pPr>
        <w:suppressAutoHyphens/>
        <w:rPr>
          <w:bCs/>
        </w:rPr>
      </w:pPr>
    </w:p>
    <w:p w:rsidR="006208E8" w:rsidRPr="007F5954" w:rsidRDefault="006208E8" w:rsidP="00D02473">
      <w:pPr>
        <w:suppressAutoHyphens/>
        <w:rPr>
          <w:bCs/>
        </w:rPr>
      </w:pPr>
      <w:r w:rsidRPr="007F5954">
        <w:rPr>
          <w:bCs/>
        </w:rPr>
        <w:t>NMLA Conference</w:t>
      </w:r>
      <w:r w:rsidR="00056F33" w:rsidRPr="007F5954">
        <w:rPr>
          <w:bCs/>
        </w:rPr>
        <w:t xml:space="preserve"> Update</w:t>
      </w:r>
    </w:p>
    <w:p w:rsidR="00056F33" w:rsidRPr="007F5954" w:rsidRDefault="00056F33" w:rsidP="00D02473">
      <w:pPr>
        <w:suppressAutoHyphens/>
        <w:rPr>
          <w:bCs/>
        </w:rPr>
      </w:pPr>
      <w:r w:rsidRPr="007F5954">
        <w:rPr>
          <w:bCs/>
        </w:rPr>
        <w:tab/>
        <w:t>Boat Setter-</w:t>
      </w:r>
    </w:p>
    <w:p w:rsidR="00056F33" w:rsidRPr="007F5954" w:rsidRDefault="00056F33" w:rsidP="00056F33">
      <w:pPr>
        <w:suppressAutoHyphens/>
        <w:ind w:left="720" w:firstLine="720"/>
        <w:rPr>
          <w:bCs/>
        </w:rPr>
      </w:pPr>
      <w:r w:rsidRPr="007F5954">
        <w:rPr>
          <w:bCs/>
        </w:rPr>
        <w:t xml:space="preserve">Charter Issues/Shared Ownership/ </w:t>
      </w:r>
    </w:p>
    <w:p w:rsidR="00886BCB" w:rsidRPr="007F5954" w:rsidRDefault="00886BCB" w:rsidP="00A87007">
      <w:pPr>
        <w:suppressAutoHyphens/>
        <w:rPr>
          <w:bCs/>
        </w:rPr>
      </w:pPr>
      <w:r w:rsidRPr="007F5954">
        <w:rPr>
          <w:bCs/>
        </w:rPr>
        <w:tab/>
      </w:r>
      <w:r w:rsidR="00056F33" w:rsidRPr="007F5954">
        <w:rPr>
          <w:bCs/>
        </w:rPr>
        <w:tab/>
        <w:t>Insurance/Liability Risk</w:t>
      </w:r>
    </w:p>
    <w:p w:rsidR="00056F33" w:rsidRPr="007F5954" w:rsidRDefault="00056F33" w:rsidP="00A87007">
      <w:pPr>
        <w:suppressAutoHyphens/>
        <w:rPr>
          <w:bCs/>
        </w:rPr>
      </w:pPr>
    </w:p>
    <w:p w:rsidR="00056F33" w:rsidRPr="007F5954" w:rsidRDefault="00056F33" w:rsidP="00056F33">
      <w:pPr>
        <w:suppressAutoHyphens/>
        <w:ind w:firstLine="720"/>
        <w:rPr>
          <w:bCs/>
        </w:rPr>
      </w:pPr>
      <w:r w:rsidRPr="007F5954">
        <w:rPr>
          <w:bCs/>
        </w:rPr>
        <w:t>Dealer/Lender presence highest since 2006 (pre-recession)</w:t>
      </w:r>
    </w:p>
    <w:p w:rsidR="00056F33" w:rsidRPr="007F5954" w:rsidRDefault="00056F33" w:rsidP="00056F33">
      <w:pPr>
        <w:suppressAutoHyphens/>
        <w:ind w:firstLine="720"/>
        <w:rPr>
          <w:bCs/>
        </w:rPr>
      </w:pPr>
    </w:p>
    <w:p w:rsidR="00056F33" w:rsidRDefault="00056F33" w:rsidP="00056F33">
      <w:pPr>
        <w:suppressAutoHyphens/>
        <w:ind w:firstLine="720"/>
        <w:rPr>
          <w:bCs/>
        </w:rPr>
      </w:pPr>
      <w:r w:rsidRPr="007F5954">
        <w:rPr>
          <w:bCs/>
        </w:rPr>
        <w:t>Credit Union Participants</w:t>
      </w:r>
    </w:p>
    <w:p w:rsidR="00886BCB" w:rsidRDefault="00886BCB" w:rsidP="00D02473">
      <w:pPr>
        <w:suppressAutoHyphens/>
        <w:rPr>
          <w:bCs/>
        </w:rPr>
      </w:pPr>
    </w:p>
    <w:p w:rsidR="00886BCB" w:rsidRDefault="00886BCB" w:rsidP="00D02473">
      <w:pPr>
        <w:suppressAutoHyphens/>
        <w:rPr>
          <w:bCs/>
        </w:rPr>
      </w:pPr>
      <w:r>
        <w:rPr>
          <w:bCs/>
        </w:rPr>
        <w:t xml:space="preserve">Retail Loan Business (NMLA reported) </w:t>
      </w:r>
      <w:r w:rsidRPr="00374F25">
        <w:rPr>
          <w:bCs/>
        </w:rPr>
        <w:t>2014 vs. 2013</w:t>
      </w:r>
    </w:p>
    <w:p w:rsidR="00886BCB" w:rsidRDefault="00374F25" w:rsidP="00D02473">
      <w:pPr>
        <w:suppressAutoHyphens/>
        <w:rPr>
          <w:bCs/>
        </w:rPr>
      </w:pPr>
      <w:r>
        <w:rPr>
          <w:bCs/>
        </w:rPr>
        <w:tab/>
        <w:t>85</w:t>
      </w:r>
      <w:r w:rsidR="00886BCB">
        <w:rPr>
          <w:bCs/>
        </w:rPr>
        <w:t>% reported increases in loan outstandings</w:t>
      </w:r>
      <w:r>
        <w:rPr>
          <w:bCs/>
        </w:rPr>
        <w:t xml:space="preserve"> (92% prior year)</w:t>
      </w:r>
    </w:p>
    <w:p w:rsidR="00886BCB" w:rsidRDefault="00886BCB" w:rsidP="00D02473">
      <w:pPr>
        <w:suppressAutoHyphens/>
        <w:rPr>
          <w:bCs/>
        </w:rPr>
      </w:pPr>
      <w:r>
        <w:rPr>
          <w:bCs/>
        </w:rPr>
        <w:tab/>
        <w:t>Credit Parameters reported to be LESS stringent</w:t>
      </w:r>
    </w:p>
    <w:p w:rsidR="00886BCB" w:rsidRPr="00886BCB" w:rsidRDefault="00886BCB" w:rsidP="00D02473">
      <w:pPr>
        <w:suppressAutoHyphens/>
        <w:rPr>
          <w:bCs/>
        </w:rPr>
      </w:pPr>
      <w:r>
        <w:rPr>
          <w:bCs/>
        </w:rPr>
        <w:tab/>
        <w:t>Some lenders waving proof of income, approving higher LTV’s</w:t>
      </w:r>
    </w:p>
    <w:p w:rsidR="002E7900" w:rsidRPr="00886BCB" w:rsidRDefault="00886BCB" w:rsidP="00D02473">
      <w:pPr>
        <w:suppressAutoHyphens/>
        <w:rPr>
          <w:bCs/>
        </w:rPr>
      </w:pPr>
      <w:r>
        <w:rPr>
          <w:b/>
          <w:bCs/>
        </w:rPr>
        <w:tab/>
      </w:r>
      <w:r>
        <w:rPr>
          <w:bCs/>
        </w:rPr>
        <w:t>Credit quality level remains high</w:t>
      </w: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A87007" w:rsidRDefault="00A87007" w:rsidP="00A87007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New Boat Sales Projections (NMLA/NMMA)</w:t>
      </w:r>
    </w:p>
    <w:p w:rsidR="00A87007" w:rsidRDefault="00A87007" w:rsidP="00A87007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ab/>
        <w:t>6% increase in new boat sales, 10% increase in dollars</w:t>
      </w:r>
    </w:p>
    <w:p w:rsidR="00A87007" w:rsidRDefault="00A87007" w:rsidP="00A87007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ab/>
        <w:t>7% increase in used boat sales</w:t>
      </w:r>
    </w:p>
    <w:p w:rsidR="00A87007" w:rsidRDefault="00A87007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Financial Regulation</w:t>
      </w: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ab/>
      </w: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ab/>
        <w:t>CFPB Policies still not clearly written or clearly passed on to banks/institutions</w:t>
      </w: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ind w:left="720"/>
        <w:rPr>
          <w:bCs/>
        </w:rPr>
      </w:pP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ind w:left="720"/>
        <w:rPr>
          <w:bCs/>
        </w:rPr>
      </w:pPr>
      <w:r>
        <w:rPr>
          <w:bCs/>
        </w:rPr>
        <w:t>Disclosure of Dealer Reserve &amp; broker fees could heavily affect the originator (loan broker) role</w:t>
      </w: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ab/>
      </w: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ab/>
        <w:t>Closely monitor residential mortgage and auto industries for indications of future policy</w:t>
      </w: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ind w:left="720"/>
        <w:rPr>
          <w:bCs/>
        </w:rPr>
      </w:pPr>
    </w:p>
    <w:p w:rsidR="0064430F" w:rsidRDefault="006208E8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ind w:left="720"/>
        <w:rPr>
          <w:bCs/>
        </w:rPr>
      </w:pPr>
      <w:r w:rsidRPr="007F5954">
        <w:rPr>
          <w:bCs/>
        </w:rPr>
        <w:t>Wells Fargo issue increasing scrutiny on big institutions</w:t>
      </w: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ind w:left="720"/>
        <w:rPr>
          <w:bCs/>
        </w:rPr>
      </w:pP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ind w:left="720"/>
        <w:rPr>
          <w:bCs/>
        </w:rPr>
      </w:pPr>
      <w:r>
        <w:rPr>
          <w:bCs/>
        </w:rPr>
        <w:t>BSA/SARS (Suspicious transactions) carry more regulatory pressure than loan quality concerns</w:t>
      </w:r>
      <w:r w:rsidR="003859DC">
        <w:rPr>
          <w:bCs/>
        </w:rPr>
        <w:t>.</w:t>
      </w:r>
    </w:p>
    <w:p w:rsidR="003859DC" w:rsidRDefault="003859DC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ind w:left="720"/>
        <w:rPr>
          <w:bCs/>
        </w:rPr>
      </w:pPr>
    </w:p>
    <w:p w:rsidR="003859DC" w:rsidRDefault="003859DC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ind w:left="720"/>
        <w:rPr>
          <w:bCs/>
        </w:rPr>
      </w:pPr>
      <w:r w:rsidRPr="007F5954">
        <w:rPr>
          <w:bCs/>
        </w:rPr>
        <w:t>Foreign transactions/closings regulations</w:t>
      </w:r>
    </w:p>
    <w:p w:rsid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64430F" w:rsidRPr="0064430F" w:rsidRDefault="0064430F" w:rsidP="0064430F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/>
          <w:bCs/>
        </w:rPr>
      </w:pPr>
      <w:r w:rsidRPr="0064430F">
        <w:rPr>
          <w:b/>
          <w:bCs/>
        </w:rPr>
        <w:t>Delinquency/Charge-off Overview</w:t>
      </w:r>
    </w:p>
    <w:p w:rsidR="002E7900" w:rsidRDefault="002E7900" w:rsidP="00D02473">
      <w:pPr>
        <w:suppressAutoHyphens/>
        <w:rPr>
          <w:b/>
          <w:bCs/>
        </w:rPr>
      </w:pPr>
    </w:p>
    <w:p w:rsidR="002E7900" w:rsidRDefault="00886BCB" w:rsidP="00D02473">
      <w:pPr>
        <w:suppressAutoHyphens/>
        <w:rPr>
          <w:b/>
          <w:bCs/>
        </w:rPr>
      </w:pPr>
      <w:r>
        <w:rPr>
          <w:b/>
          <w:bCs/>
        </w:rPr>
        <w:t>Year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Delinquency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Charge-off</w:t>
      </w:r>
    </w:p>
    <w:p w:rsidR="00886BCB" w:rsidRPr="00886BCB" w:rsidRDefault="00C53B6D" w:rsidP="00D02473">
      <w:pPr>
        <w:suppressAutoHyphens/>
        <w:rPr>
          <w:bCs/>
        </w:rPr>
      </w:pPr>
      <w:r>
        <w:rPr>
          <w:bCs/>
        </w:rPr>
        <w:t>2003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0.8</w:t>
      </w:r>
      <w:r w:rsidR="00886BCB">
        <w:rPr>
          <w:bCs/>
        </w:rPr>
        <w:t>5%</w:t>
      </w:r>
      <w:r w:rsidR="00886BCB">
        <w:rPr>
          <w:bCs/>
        </w:rPr>
        <w:tab/>
      </w:r>
      <w:r w:rsidR="00886BCB">
        <w:rPr>
          <w:bCs/>
        </w:rPr>
        <w:tab/>
      </w:r>
      <w:r w:rsidR="00886BCB">
        <w:rPr>
          <w:bCs/>
        </w:rPr>
        <w:tab/>
      </w:r>
      <w:r w:rsidR="00886BCB">
        <w:rPr>
          <w:bCs/>
        </w:rPr>
        <w:tab/>
      </w:r>
      <w:r>
        <w:rPr>
          <w:bCs/>
        </w:rPr>
        <w:t>0.35%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2004</w:t>
      </w:r>
      <w:r>
        <w:rPr>
          <w:bCs/>
        </w:rPr>
        <w:tab/>
        <w:t>0.69</w:t>
      </w:r>
      <w:r>
        <w:rPr>
          <w:bCs/>
        </w:rPr>
        <w:tab/>
        <w:t>0.20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2005</w:t>
      </w:r>
      <w:r>
        <w:rPr>
          <w:bCs/>
        </w:rPr>
        <w:tab/>
        <w:t>0.83</w:t>
      </w:r>
      <w:r>
        <w:rPr>
          <w:bCs/>
        </w:rPr>
        <w:tab/>
        <w:t>0.52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2006</w:t>
      </w:r>
      <w:r>
        <w:rPr>
          <w:bCs/>
        </w:rPr>
        <w:tab/>
        <w:t>0.63</w:t>
      </w:r>
      <w:r>
        <w:rPr>
          <w:bCs/>
        </w:rPr>
        <w:tab/>
        <w:t>0.27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2007</w:t>
      </w:r>
      <w:r>
        <w:rPr>
          <w:bCs/>
        </w:rPr>
        <w:tab/>
        <w:t>0.85</w:t>
      </w:r>
      <w:r>
        <w:rPr>
          <w:bCs/>
        </w:rPr>
        <w:tab/>
        <w:t>0.77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2008</w:t>
      </w:r>
      <w:r>
        <w:rPr>
          <w:bCs/>
        </w:rPr>
        <w:tab/>
        <w:t>1.18</w:t>
      </w:r>
      <w:r>
        <w:rPr>
          <w:bCs/>
        </w:rPr>
        <w:tab/>
        <w:t>0.93</w:t>
      </w:r>
    </w:p>
    <w:p w:rsidR="00C53B6D" w:rsidRDefault="00374F25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2009</w:t>
      </w:r>
      <w:r>
        <w:rPr>
          <w:bCs/>
        </w:rPr>
        <w:tab/>
        <w:t>2.</w:t>
      </w:r>
      <w:r w:rsidR="00C53B6D">
        <w:rPr>
          <w:bCs/>
        </w:rPr>
        <w:t>26</w:t>
      </w:r>
      <w:r w:rsidR="00C53B6D">
        <w:rPr>
          <w:bCs/>
        </w:rPr>
        <w:tab/>
        <w:t>1.43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lastRenderedPageBreak/>
        <w:t>2010</w:t>
      </w:r>
      <w:r>
        <w:rPr>
          <w:bCs/>
        </w:rPr>
        <w:tab/>
        <w:t>1.69</w:t>
      </w:r>
      <w:r>
        <w:rPr>
          <w:bCs/>
        </w:rPr>
        <w:tab/>
        <w:t>0.89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2011</w:t>
      </w:r>
      <w:r>
        <w:rPr>
          <w:bCs/>
        </w:rPr>
        <w:tab/>
        <w:t>1.48</w:t>
      </w:r>
      <w:r>
        <w:rPr>
          <w:bCs/>
        </w:rPr>
        <w:tab/>
        <w:t>1.14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2012</w:t>
      </w:r>
      <w:r>
        <w:rPr>
          <w:bCs/>
        </w:rPr>
        <w:tab/>
        <w:t>0.82</w:t>
      </w:r>
      <w:r>
        <w:rPr>
          <w:bCs/>
        </w:rPr>
        <w:tab/>
        <w:t>0.77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2013</w:t>
      </w:r>
      <w:r>
        <w:rPr>
          <w:bCs/>
        </w:rPr>
        <w:tab/>
        <w:t>0.80</w:t>
      </w:r>
      <w:r>
        <w:rPr>
          <w:bCs/>
        </w:rPr>
        <w:tab/>
        <w:t>0.57</w:t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2014</w:t>
      </w:r>
      <w:r>
        <w:rPr>
          <w:bCs/>
        </w:rPr>
        <w:tab/>
      </w:r>
      <w:r w:rsidR="00374F25">
        <w:rPr>
          <w:bCs/>
        </w:rPr>
        <w:t>0.87</w:t>
      </w:r>
      <w:r w:rsidR="00374F25">
        <w:rPr>
          <w:bCs/>
        </w:rPr>
        <w:tab/>
        <w:t>0.44</w:t>
      </w:r>
    </w:p>
    <w:p w:rsidR="006208E8" w:rsidRPr="00374F25" w:rsidRDefault="006208E8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 w:rsidRPr="007F5954">
        <w:rPr>
          <w:bCs/>
        </w:rPr>
        <w:t>2015</w:t>
      </w:r>
      <w:r w:rsidRPr="007F5954">
        <w:rPr>
          <w:bCs/>
        </w:rPr>
        <w:tab/>
        <w:t>0.69</w:t>
      </w:r>
      <w:r w:rsidR="00056F33" w:rsidRPr="007F5954">
        <w:rPr>
          <w:bCs/>
        </w:rPr>
        <w:tab/>
        <w:t>0.38 (est.)</w:t>
      </w:r>
      <w:r>
        <w:rPr>
          <w:bCs/>
        </w:rPr>
        <w:tab/>
      </w:r>
    </w:p>
    <w:p w:rsidR="00C53B6D" w:rsidRDefault="00C53B6D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A87007" w:rsidRPr="001E4B08" w:rsidRDefault="00A87007" w:rsidP="00C53B6D">
      <w:pPr>
        <w:tabs>
          <w:tab w:val="left" w:pos="2160"/>
          <w:tab w:val="left" w:pos="5040"/>
          <w:tab w:val="left" w:pos="5130"/>
        </w:tabs>
        <w:suppressAutoHyphens/>
        <w:rPr>
          <w:b/>
          <w:bCs/>
        </w:rPr>
      </w:pPr>
      <w:r w:rsidRPr="001E4B08">
        <w:rPr>
          <w:b/>
          <w:bCs/>
        </w:rPr>
        <w:t xml:space="preserve">Recovery </w:t>
      </w:r>
      <w:r w:rsidR="001E4B08">
        <w:rPr>
          <w:b/>
          <w:bCs/>
        </w:rPr>
        <w:t xml:space="preserve">&amp; </w:t>
      </w:r>
      <w:r w:rsidRPr="001E4B08">
        <w:rPr>
          <w:b/>
          <w:bCs/>
        </w:rPr>
        <w:t>Liquidation Overview</w:t>
      </w:r>
    </w:p>
    <w:p w:rsidR="00A87007" w:rsidRDefault="00A87007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A87007" w:rsidRDefault="00A87007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 xml:space="preserve">Repossession </w:t>
      </w:r>
      <w:r w:rsidR="001E4B08">
        <w:rPr>
          <w:bCs/>
        </w:rPr>
        <w:t>activity</w:t>
      </w:r>
      <w:r>
        <w:rPr>
          <w:bCs/>
        </w:rPr>
        <w:t xml:space="preserve"> remains at historical</w:t>
      </w:r>
      <w:r w:rsidR="001E4B08">
        <w:rPr>
          <w:bCs/>
        </w:rPr>
        <w:t>ly low levels and banks are seeing better and quicker returns on owned inventory.</w:t>
      </w:r>
    </w:p>
    <w:p w:rsidR="001E4B08" w:rsidRDefault="001E4B08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1E4B08" w:rsidRDefault="001E4B08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 xml:space="preserve">CFPB remains very involved in debt collection practices, commercially reasonable sale and fees charged to borrowers for same.  </w:t>
      </w:r>
    </w:p>
    <w:p w:rsidR="001E4B08" w:rsidRDefault="001E4B08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1E4B08" w:rsidRDefault="001E4B08" w:rsidP="00C53B6D">
      <w:pPr>
        <w:tabs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 xml:space="preserve">Pro-consumer bar is becoming more aggressive in representation of borrowers </w:t>
      </w:r>
      <w:r w:rsidR="00A9461E">
        <w:rPr>
          <w:bCs/>
        </w:rPr>
        <w:t>and challenging</w:t>
      </w:r>
      <w:r>
        <w:rPr>
          <w:bCs/>
        </w:rPr>
        <w:t xml:space="preserve"> these issues.</w:t>
      </w:r>
    </w:p>
    <w:p w:rsidR="00C53B6D" w:rsidRDefault="00C53B6D" w:rsidP="00C53B6D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64430F" w:rsidRDefault="0064430F" w:rsidP="00C53B6D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374F25" w:rsidRPr="00826924" w:rsidRDefault="00374F25" w:rsidP="00374F25">
      <w:pPr>
        <w:jc w:val="center"/>
        <w:rPr>
          <w:rFonts w:cs="Tahoma"/>
          <w:b/>
          <w:u w:val="single"/>
        </w:rPr>
      </w:pPr>
      <w:r w:rsidRPr="00826924">
        <w:rPr>
          <w:rFonts w:cs="Tahoma"/>
          <w:b/>
          <w:u w:val="single"/>
        </w:rPr>
        <w:t>National Marine Lenders Association Events</w:t>
      </w:r>
    </w:p>
    <w:p w:rsidR="00374F25" w:rsidRPr="00826924" w:rsidRDefault="00374F25" w:rsidP="00374F25">
      <w:pPr>
        <w:ind w:left="360"/>
        <w:rPr>
          <w:rFonts w:cs="Tahoma"/>
        </w:rPr>
      </w:pPr>
    </w:p>
    <w:p w:rsidR="00374F25" w:rsidRPr="007F5954" w:rsidRDefault="006208E8" w:rsidP="00374F25">
      <w:pPr>
        <w:numPr>
          <w:ilvl w:val="0"/>
          <w:numId w:val="3"/>
        </w:numPr>
        <w:rPr>
          <w:rFonts w:cs="Tahoma"/>
          <w:b/>
        </w:rPr>
      </w:pPr>
      <w:r w:rsidRPr="007F5954">
        <w:rPr>
          <w:rFonts w:cs="Tahoma"/>
          <w:b/>
        </w:rPr>
        <w:t>2017 NMLA 38</w:t>
      </w:r>
      <w:r w:rsidR="00374F25" w:rsidRPr="007F5954">
        <w:rPr>
          <w:rFonts w:cs="Tahoma"/>
          <w:b/>
          <w:vertAlign w:val="superscript"/>
        </w:rPr>
        <w:t>th</w:t>
      </w:r>
      <w:r w:rsidR="00374F25" w:rsidRPr="007F5954">
        <w:rPr>
          <w:rFonts w:cs="Tahoma"/>
          <w:b/>
        </w:rPr>
        <w:t xml:space="preserve"> Annual Conference </w:t>
      </w:r>
    </w:p>
    <w:p w:rsidR="00374F25" w:rsidRPr="007F5954" w:rsidRDefault="006208E8" w:rsidP="00374F25">
      <w:pPr>
        <w:ind w:left="720"/>
        <w:rPr>
          <w:rFonts w:cs="Tahoma"/>
        </w:rPr>
      </w:pPr>
      <w:r w:rsidRPr="007F5954">
        <w:rPr>
          <w:rFonts w:cs="Tahoma"/>
        </w:rPr>
        <w:t>October 22-24, 2017</w:t>
      </w:r>
    </w:p>
    <w:p w:rsidR="00374F25" w:rsidRPr="007F5954" w:rsidRDefault="006208E8" w:rsidP="00374F25">
      <w:pPr>
        <w:ind w:left="720"/>
        <w:rPr>
          <w:rFonts w:cs="Tahoma"/>
        </w:rPr>
      </w:pPr>
      <w:r w:rsidRPr="007F5954">
        <w:rPr>
          <w:rFonts w:cs="Tahoma"/>
        </w:rPr>
        <w:t xml:space="preserve">Hyatt Indian Wells Resort and Spa, Indian Wells, CA </w:t>
      </w:r>
    </w:p>
    <w:p w:rsidR="006208E8" w:rsidRPr="007F5954" w:rsidRDefault="006208E8" w:rsidP="00374F25">
      <w:pPr>
        <w:ind w:left="720"/>
        <w:rPr>
          <w:rFonts w:cs="Tahoma"/>
        </w:rPr>
      </w:pPr>
    </w:p>
    <w:p w:rsidR="00374F25" w:rsidRPr="007F5954" w:rsidRDefault="00374F25" w:rsidP="00374F25">
      <w:pPr>
        <w:numPr>
          <w:ilvl w:val="0"/>
          <w:numId w:val="3"/>
        </w:numPr>
        <w:rPr>
          <w:rFonts w:cs="Tahoma"/>
          <w:b/>
        </w:rPr>
      </w:pPr>
      <w:r w:rsidRPr="007F5954">
        <w:rPr>
          <w:rFonts w:cs="Tahoma"/>
          <w:b/>
        </w:rPr>
        <w:t>2017 Marine Lending &amp; Recreational Finance Workshop</w:t>
      </w:r>
    </w:p>
    <w:p w:rsidR="00374F25" w:rsidRPr="007F5954" w:rsidRDefault="00374F25" w:rsidP="00374F25">
      <w:pPr>
        <w:ind w:left="720"/>
        <w:rPr>
          <w:rFonts w:cs="Tahoma"/>
        </w:rPr>
      </w:pPr>
      <w:r w:rsidRPr="007F5954">
        <w:rPr>
          <w:rFonts w:cs="Tahoma"/>
        </w:rPr>
        <w:t>Tampa, FL</w:t>
      </w:r>
    </w:p>
    <w:p w:rsidR="00374F25" w:rsidRPr="00826924" w:rsidRDefault="00374F25" w:rsidP="00374F25">
      <w:pPr>
        <w:ind w:left="720"/>
        <w:rPr>
          <w:rFonts w:cs="Tahoma"/>
        </w:rPr>
      </w:pPr>
      <w:r w:rsidRPr="007F5954">
        <w:rPr>
          <w:rFonts w:cs="Tahoma"/>
        </w:rPr>
        <w:t xml:space="preserve">March, </w:t>
      </w:r>
      <w:r w:rsidR="00F259F2" w:rsidRPr="007F5954">
        <w:rPr>
          <w:rFonts w:cs="Tahoma"/>
        </w:rPr>
        <w:t xml:space="preserve">5-7, </w:t>
      </w:r>
      <w:r w:rsidRPr="007F5954">
        <w:rPr>
          <w:rFonts w:cs="Tahoma"/>
        </w:rPr>
        <w:t>2017 - TBA</w:t>
      </w:r>
      <w:r w:rsidRPr="00826924">
        <w:rPr>
          <w:rFonts w:cs="Tahoma"/>
        </w:rPr>
        <w:t xml:space="preserve"> </w:t>
      </w:r>
    </w:p>
    <w:p w:rsidR="00374F25" w:rsidRDefault="00374F25" w:rsidP="00C53B6D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7C7832" w:rsidRDefault="007C7832" w:rsidP="00C53B6D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Thanks to:</w:t>
      </w:r>
    </w:p>
    <w:p w:rsidR="007C7832" w:rsidRDefault="007C7832" w:rsidP="00C53B6D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br/>
        <w:t>James Coburn, VP &amp; Managing Partner</w:t>
      </w:r>
    </w:p>
    <w:p w:rsidR="007C7832" w:rsidRDefault="007C7832" w:rsidP="00C53B6D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Coburn &amp; Associates</w:t>
      </w:r>
    </w:p>
    <w:p w:rsidR="007C7832" w:rsidRDefault="007C7832" w:rsidP="00C53B6D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</w:p>
    <w:p w:rsidR="007C7832" w:rsidRDefault="007C7832" w:rsidP="00C53B6D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>National Marine Lenders Association, Annual Report</w:t>
      </w:r>
    </w:p>
    <w:p w:rsidR="002E7900" w:rsidRPr="00C53B6D" w:rsidRDefault="00C53B6D" w:rsidP="00C53B6D">
      <w:pPr>
        <w:tabs>
          <w:tab w:val="left" w:pos="720"/>
          <w:tab w:val="left" w:pos="2160"/>
          <w:tab w:val="left" w:pos="5040"/>
          <w:tab w:val="left" w:pos="513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E7900" w:rsidRDefault="002E7900" w:rsidP="00D02473">
      <w:pPr>
        <w:suppressAutoHyphens/>
        <w:rPr>
          <w:b/>
          <w:bCs/>
        </w:rPr>
      </w:pPr>
    </w:p>
    <w:p w:rsidR="002E7900" w:rsidRDefault="002E7900" w:rsidP="00D02473">
      <w:pPr>
        <w:suppressAutoHyphens/>
        <w:rPr>
          <w:b/>
          <w:bCs/>
        </w:rPr>
      </w:pPr>
    </w:p>
    <w:p w:rsidR="002E7900" w:rsidRDefault="002E7900" w:rsidP="00D02473">
      <w:pPr>
        <w:suppressAutoHyphens/>
        <w:rPr>
          <w:b/>
          <w:bCs/>
        </w:rPr>
      </w:pPr>
    </w:p>
    <w:p w:rsidR="002E7900" w:rsidRDefault="002E7900" w:rsidP="00D02473">
      <w:pPr>
        <w:suppressAutoHyphens/>
        <w:rPr>
          <w:b/>
          <w:bCs/>
        </w:rPr>
      </w:pPr>
    </w:p>
    <w:p w:rsidR="0049102E" w:rsidRDefault="0049102E"/>
    <w:sectPr w:rsidR="0049102E" w:rsidSect="00D02473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AB" w:rsidRDefault="00F162AB" w:rsidP="00CB0B19">
      <w:r>
        <w:separator/>
      </w:r>
    </w:p>
  </w:endnote>
  <w:endnote w:type="continuationSeparator" w:id="0">
    <w:p w:rsidR="00F162AB" w:rsidRDefault="00F162AB" w:rsidP="00CB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3192"/>
      <w:gridCol w:w="3192"/>
      <w:gridCol w:w="3192"/>
    </w:tblGrid>
    <w:tr w:rsidR="0049102E">
      <w:trPr>
        <w:jc w:val="center"/>
      </w:trPr>
      <w:tc>
        <w:tcPr>
          <w:tcW w:w="3192" w:type="dxa"/>
        </w:tcPr>
        <w:p w:rsidR="0049102E" w:rsidRDefault="0049102E">
          <w:pPr>
            <w:pStyle w:val="Footer"/>
          </w:pPr>
        </w:p>
      </w:tc>
      <w:tc>
        <w:tcPr>
          <w:tcW w:w="3192" w:type="dxa"/>
        </w:tcPr>
        <w:p w:rsidR="0049102E" w:rsidRDefault="0049102E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5E5C93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E5C93">
            <w:rPr>
              <w:rStyle w:val="PageNumber"/>
            </w:rPr>
            <w:fldChar w:fldCharType="separate"/>
          </w:r>
          <w:r w:rsidR="00CC049D">
            <w:rPr>
              <w:rStyle w:val="PageNumber"/>
              <w:noProof/>
            </w:rPr>
            <w:t>3</w:t>
          </w:r>
          <w:r w:rsidR="005E5C93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3192" w:type="dxa"/>
        </w:tcPr>
        <w:p w:rsidR="0049102E" w:rsidRDefault="0049102E">
          <w:pPr>
            <w:pStyle w:val="Footer"/>
            <w:jc w:val="right"/>
          </w:pPr>
        </w:p>
      </w:tc>
    </w:tr>
  </w:tbl>
  <w:p w:rsidR="0049102E" w:rsidRDefault="0049102E">
    <w:pPr>
      <w:pStyle w:val="Footer"/>
      <w:spacing w:line="200" w:lineRule="exact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3192"/>
      <w:gridCol w:w="3192"/>
      <w:gridCol w:w="3192"/>
    </w:tblGrid>
    <w:tr w:rsidR="0049102E">
      <w:trPr>
        <w:jc w:val="center"/>
      </w:trPr>
      <w:tc>
        <w:tcPr>
          <w:tcW w:w="3192" w:type="dxa"/>
        </w:tcPr>
        <w:p w:rsidR="0049102E" w:rsidRDefault="0049102E">
          <w:pPr>
            <w:pStyle w:val="Footer"/>
          </w:pPr>
        </w:p>
      </w:tc>
      <w:tc>
        <w:tcPr>
          <w:tcW w:w="3192" w:type="dxa"/>
        </w:tcPr>
        <w:p w:rsidR="0049102E" w:rsidRDefault="0049102E">
          <w:pPr>
            <w:pStyle w:val="Footer"/>
            <w:jc w:val="center"/>
          </w:pPr>
        </w:p>
      </w:tc>
      <w:tc>
        <w:tcPr>
          <w:tcW w:w="3192" w:type="dxa"/>
        </w:tcPr>
        <w:p w:rsidR="0049102E" w:rsidRDefault="0049102E">
          <w:pPr>
            <w:pStyle w:val="Footer"/>
            <w:jc w:val="right"/>
          </w:pPr>
        </w:p>
      </w:tc>
    </w:tr>
  </w:tbl>
  <w:p w:rsidR="0049102E" w:rsidRDefault="0049102E" w:rsidP="003549DD">
    <w:pPr>
      <w:pStyle w:val="Footer"/>
      <w:spacing w:line="200" w:lineRule="exact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AB" w:rsidRDefault="00F162AB" w:rsidP="00CB0B19">
      <w:r>
        <w:separator/>
      </w:r>
    </w:p>
  </w:footnote>
  <w:footnote w:type="continuationSeparator" w:id="0">
    <w:p w:rsidR="00F162AB" w:rsidRDefault="00F162AB" w:rsidP="00CB0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70"/>
    <w:multiLevelType w:val="hybridMultilevel"/>
    <w:tmpl w:val="F29C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254C6"/>
    <w:multiLevelType w:val="hybridMultilevel"/>
    <w:tmpl w:val="790C298C"/>
    <w:lvl w:ilvl="0" w:tplc="DBFA8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6E8E"/>
    <w:multiLevelType w:val="hybridMultilevel"/>
    <w:tmpl w:val="BF08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473"/>
    <w:rsid w:val="00035430"/>
    <w:rsid w:val="00056F33"/>
    <w:rsid w:val="00061586"/>
    <w:rsid w:val="000A4623"/>
    <w:rsid w:val="001811A6"/>
    <w:rsid w:val="001D256B"/>
    <w:rsid w:val="001E4B08"/>
    <w:rsid w:val="00281EB0"/>
    <w:rsid w:val="00292D9A"/>
    <w:rsid w:val="002E7900"/>
    <w:rsid w:val="003549DD"/>
    <w:rsid w:val="00374F25"/>
    <w:rsid w:val="003859DC"/>
    <w:rsid w:val="0040591F"/>
    <w:rsid w:val="004223E9"/>
    <w:rsid w:val="0049102E"/>
    <w:rsid w:val="00507663"/>
    <w:rsid w:val="0052658B"/>
    <w:rsid w:val="00533503"/>
    <w:rsid w:val="00546A36"/>
    <w:rsid w:val="00580519"/>
    <w:rsid w:val="005E08A2"/>
    <w:rsid w:val="005E5C93"/>
    <w:rsid w:val="005F7C25"/>
    <w:rsid w:val="006208E8"/>
    <w:rsid w:val="00622D3F"/>
    <w:rsid w:val="0064430F"/>
    <w:rsid w:val="006C5BD5"/>
    <w:rsid w:val="00720253"/>
    <w:rsid w:val="00747AD7"/>
    <w:rsid w:val="007C7832"/>
    <w:rsid w:val="007D696A"/>
    <w:rsid w:val="007F5954"/>
    <w:rsid w:val="00886BCB"/>
    <w:rsid w:val="008A0650"/>
    <w:rsid w:val="00947E9A"/>
    <w:rsid w:val="00956903"/>
    <w:rsid w:val="00980F2D"/>
    <w:rsid w:val="00A01C2E"/>
    <w:rsid w:val="00A20972"/>
    <w:rsid w:val="00A20E1E"/>
    <w:rsid w:val="00A4141C"/>
    <w:rsid w:val="00A70C5A"/>
    <w:rsid w:val="00A87007"/>
    <w:rsid w:val="00A9461E"/>
    <w:rsid w:val="00B32635"/>
    <w:rsid w:val="00B4572D"/>
    <w:rsid w:val="00B525E8"/>
    <w:rsid w:val="00BB52F4"/>
    <w:rsid w:val="00BE4552"/>
    <w:rsid w:val="00C53B6D"/>
    <w:rsid w:val="00C5663A"/>
    <w:rsid w:val="00C77583"/>
    <w:rsid w:val="00C816DB"/>
    <w:rsid w:val="00CB0B19"/>
    <w:rsid w:val="00CC049D"/>
    <w:rsid w:val="00D02473"/>
    <w:rsid w:val="00D11CB2"/>
    <w:rsid w:val="00D14401"/>
    <w:rsid w:val="00D25B57"/>
    <w:rsid w:val="00D724E2"/>
    <w:rsid w:val="00D76AF5"/>
    <w:rsid w:val="00DA788F"/>
    <w:rsid w:val="00E03CDB"/>
    <w:rsid w:val="00E8066B"/>
    <w:rsid w:val="00EE4E24"/>
    <w:rsid w:val="00EE50D5"/>
    <w:rsid w:val="00F162AB"/>
    <w:rsid w:val="00F23326"/>
    <w:rsid w:val="00F259F2"/>
    <w:rsid w:val="00F55FA0"/>
    <w:rsid w:val="00F7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25B57"/>
    <w:pPr>
      <w:autoSpaceDE w:val="0"/>
      <w:autoSpaceDN w:val="0"/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02473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semiHidden/>
    <w:rsid w:val="00D024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aliases w:val="pn"/>
    <w:basedOn w:val="DefaultParagraphFont"/>
    <w:semiHidden/>
    <w:rsid w:val="00D02473"/>
  </w:style>
  <w:style w:type="character" w:customStyle="1" w:styleId="zzmpTrailerItem">
    <w:name w:val="zzmpTrailerItem"/>
    <w:basedOn w:val="DefaultParagraphFont"/>
    <w:rsid w:val="00D02473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35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9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25B57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B57"/>
    <w:rPr>
      <w:color w:val="0000FF"/>
      <w:u w:val="single"/>
    </w:rPr>
  </w:style>
  <w:style w:type="paragraph" w:customStyle="1" w:styleId="Default">
    <w:name w:val="Default"/>
    <w:basedOn w:val="Normal"/>
    <w:rsid w:val="00D25B57"/>
    <w:pPr>
      <w:autoSpaceDE w:val="0"/>
      <w:autoSpaceDN w:val="0"/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88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9431-DFBB-4DC3-9669-E349F0DF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TCH-LLC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dbohonnon</dc:creator>
  <cp:lastModifiedBy>MLAUS</cp:lastModifiedBy>
  <cp:revision>2</cp:revision>
  <cp:lastPrinted>2016-10-23T15:15:00Z</cp:lastPrinted>
  <dcterms:created xsi:type="dcterms:W3CDTF">2016-11-07T15:43:00Z</dcterms:created>
  <dcterms:modified xsi:type="dcterms:W3CDTF">2016-11-07T15:43:00Z</dcterms:modified>
</cp:coreProperties>
</file>