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D21AD" w:rsidP="00F11590">
      <w:pPr>
        <w:pStyle w:val="BodyText"/>
        <w:jc w:val="center"/>
        <w:rPr>
          <w:b/>
        </w:rPr>
      </w:pPr>
      <w:bookmarkStart w:id="0" w:name="_GoBack"/>
      <w:bookmarkEnd w:id="0"/>
      <w:r>
        <w:rPr>
          <w:b/>
        </w:rPr>
        <w:t>Maritime Law Association of the United States</w:t>
      </w:r>
    </w:p>
    <w:p w:rsidR="002D21AD" w:rsidP="00F11590">
      <w:pPr>
        <w:pStyle w:val="BodyText"/>
        <w:jc w:val="center"/>
      </w:pPr>
      <w:r>
        <w:t>An</w:t>
      </w:r>
      <w:r w:rsidR="003D7C74">
        <w:t xml:space="preserve">nual Meeting – New York, May </w:t>
      </w:r>
      <w:r w:rsidR="00287D58">
        <w:t>1-3</w:t>
      </w:r>
      <w:r w:rsidR="00D00982">
        <w:t>, 2019</w:t>
      </w:r>
    </w:p>
    <w:p w:rsidR="00F11590" w:rsidP="00F11590">
      <w:pPr>
        <w:pStyle w:val="BodyText"/>
        <w:spacing w:after="0"/>
        <w:ind w:firstLine="0"/>
        <w:rPr>
          <w:b/>
        </w:rPr>
      </w:pPr>
    </w:p>
    <w:p w:rsidR="002D21AD" w:rsidRPr="00F11590" w:rsidP="00F11590">
      <w:pPr>
        <w:pStyle w:val="BodyText"/>
        <w:spacing w:after="0"/>
        <w:ind w:firstLine="0"/>
        <w:rPr>
          <w:b/>
          <w:sz w:val="28"/>
          <w:szCs w:val="28"/>
        </w:rPr>
      </w:pPr>
      <w:r w:rsidRPr="00F11590">
        <w:rPr>
          <w:b/>
          <w:sz w:val="28"/>
          <w:szCs w:val="28"/>
        </w:rPr>
        <w:t>Committee on Inland Waters and Towing</w:t>
      </w:r>
    </w:p>
    <w:p w:rsidR="003D7C74">
      <w:pPr>
        <w:pStyle w:val="BodyText"/>
        <w:spacing w:after="0"/>
        <w:ind w:firstLine="0"/>
        <w:rPr>
          <w:b/>
        </w:rPr>
      </w:pPr>
    </w:p>
    <w:p w:rsidR="002D21AD">
      <w:pPr>
        <w:pStyle w:val="BodyText"/>
        <w:spacing w:after="0"/>
        <w:ind w:firstLine="0"/>
        <w:rPr>
          <w:b/>
        </w:rPr>
      </w:pPr>
      <w:r w:rsidRPr="00F11590">
        <w:t>Date/time:</w:t>
      </w:r>
      <w:r>
        <w:rPr>
          <w:b/>
        </w:rPr>
        <w:tab/>
      </w:r>
      <w:r w:rsidR="00D00982">
        <w:rPr>
          <w:b/>
        </w:rPr>
        <w:t>Wednesday, May 1</w:t>
      </w:r>
      <w:r w:rsidR="00190CB2">
        <w:rPr>
          <w:b/>
        </w:rPr>
        <w:t>, 11 AM – 12:30 PM</w:t>
      </w:r>
    </w:p>
    <w:p w:rsidR="002D21AD">
      <w:pPr>
        <w:pStyle w:val="BodyText"/>
        <w:spacing w:after="0"/>
        <w:ind w:firstLine="0"/>
      </w:pPr>
    </w:p>
    <w:p w:rsidR="003D7C74" w:rsidRPr="00082F41">
      <w:pPr>
        <w:pStyle w:val="BodyText"/>
        <w:spacing w:after="0"/>
        <w:ind w:firstLine="0"/>
        <w:rPr>
          <w:b/>
        </w:rPr>
      </w:pPr>
      <w:r w:rsidRPr="00190CB2">
        <w:t>Meeting location:</w:t>
      </w:r>
      <w:r w:rsidRPr="00082F41">
        <w:rPr>
          <w:b/>
        </w:rPr>
        <w:t xml:space="preserve"> </w:t>
      </w:r>
      <w:r w:rsidR="00F11590">
        <w:rPr>
          <w:b/>
        </w:rPr>
        <w:tab/>
      </w:r>
      <w:r w:rsidRPr="00082F41">
        <w:rPr>
          <w:b/>
        </w:rPr>
        <w:t xml:space="preserve">India </w:t>
      </w:r>
      <w:r w:rsidR="00DE2604">
        <w:rPr>
          <w:b/>
        </w:rPr>
        <w:t>House Club</w:t>
      </w:r>
    </w:p>
    <w:p w:rsidR="002D21AD">
      <w:pPr>
        <w:pStyle w:val="BodyText"/>
        <w:spacing w:after="0"/>
        <w:ind w:firstLine="0"/>
      </w:pPr>
      <w:r>
        <w:tab/>
      </w:r>
      <w:r>
        <w:tab/>
      </w:r>
      <w:r>
        <w:tab/>
      </w:r>
      <w:r w:rsidRPr="00F11590" w:rsidR="00190CB2">
        <w:rPr>
          <w:b/>
        </w:rPr>
        <w:t>1</w:t>
      </w:r>
      <w:r w:rsidRPr="00F11590" w:rsidR="003D7C74">
        <w:rPr>
          <w:b/>
        </w:rPr>
        <w:t xml:space="preserve"> Hanover </w:t>
      </w:r>
      <w:r w:rsidRPr="00F11590" w:rsidR="00DE2604">
        <w:rPr>
          <w:b/>
        </w:rPr>
        <w:t>Square</w:t>
      </w:r>
      <w:r w:rsidRPr="00F11590" w:rsidR="00190CB2">
        <w:rPr>
          <w:b/>
        </w:rPr>
        <w:t xml:space="preserve"> </w:t>
      </w:r>
      <w:r w:rsidR="00190CB2">
        <w:t>(Downtown)</w:t>
      </w:r>
    </w:p>
    <w:p w:rsidR="00915215">
      <w:pPr>
        <w:pStyle w:val="BodyText"/>
        <w:spacing w:after="0"/>
        <w:ind w:firstLine="0"/>
      </w:pPr>
    </w:p>
    <w:p w:rsidR="00915215" w:rsidP="00915215">
      <w:pPr>
        <w:pStyle w:val="BodyText"/>
        <w:spacing w:after="0"/>
        <w:ind w:firstLine="0"/>
      </w:pPr>
      <w:r w:rsidRPr="00915215">
        <w:rPr>
          <w:b/>
        </w:rPr>
        <w:t>Attendance RSVP Required</w:t>
      </w:r>
      <w:r>
        <w:t xml:space="preserve">:  Please notify Kent Roberts </w:t>
      </w:r>
      <w:r w:rsidRPr="00915215">
        <w:t xml:space="preserve">(with </w:t>
      </w:r>
      <w:r w:rsidR="00D00982">
        <w:t>Krista Frietas</w:t>
      </w:r>
      <w:r>
        <w:t xml:space="preserve"> copied)</w:t>
      </w:r>
      <w:r w:rsidRPr="00915215">
        <w:t xml:space="preserve"> if you will atten</w:t>
      </w:r>
      <w:r w:rsidR="00D00982">
        <w:t xml:space="preserve">d our </w:t>
      </w:r>
      <w:r w:rsidR="00CF4EA2">
        <w:t xml:space="preserve">Committee </w:t>
      </w:r>
      <w:r w:rsidR="00D00982">
        <w:t>meeting on Wednesday, May 1</w:t>
      </w:r>
      <w:r w:rsidRPr="00915215">
        <w:t xml:space="preserve">, at </w:t>
      </w:r>
      <w:r>
        <w:t>11 AM</w:t>
      </w:r>
      <w:r w:rsidR="00190CB2">
        <w:t>,</w:t>
      </w:r>
      <w:r>
        <w:t xml:space="preserve"> </w:t>
      </w:r>
      <w:r w:rsidR="000C74A1">
        <w:t xml:space="preserve">for </w:t>
      </w:r>
      <w:r w:rsidR="00DE2604">
        <w:t>the</w:t>
      </w:r>
      <w:r w:rsidR="000C74A1">
        <w:t xml:space="preserve"> </w:t>
      </w:r>
      <w:r w:rsidR="00DE2604">
        <w:t>India House</w:t>
      </w:r>
      <w:r w:rsidR="000C74A1">
        <w:t xml:space="preserve"> admit</w:t>
      </w:r>
      <w:r>
        <w:t>tance list</w:t>
      </w:r>
      <w:r w:rsidR="000C74A1">
        <w:t>.</w:t>
      </w:r>
    </w:p>
    <w:p w:rsidR="00915215" w:rsidP="00915215">
      <w:pPr>
        <w:pStyle w:val="BodyText"/>
        <w:spacing w:after="0"/>
        <w:ind w:firstLine="0"/>
      </w:pPr>
      <w:r w:rsidRPr="00E32CBF">
        <w:rPr>
          <w:rStyle w:val="DefaultParagraphFont"/>
        </w:rPr>
        <w:t>ckroberts@schwabe.com</w:t>
      </w:r>
    </w:p>
    <w:p w:rsidR="00915215" w:rsidP="00915215">
      <w:pPr>
        <w:pStyle w:val="BodyText"/>
        <w:spacing w:after="0"/>
        <w:ind w:firstLine="0"/>
      </w:pPr>
      <w:r w:rsidR="00D00982">
        <w:rPr>
          <w:rStyle w:val="DefaultParagraphFont"/>
        </w:rPr>
        <w:t>kfrietas@schwabe.com</w:t>
      </w:r>
    </w:p>
    <w:p w:rsidR="00915215" w:rsidRPr="00915215" w:rsidP="00915215">
      <w:pPr>
        <w:pStyle w:val="BodyText"/>
        <w:spacing w:after="0"/>
        <w:ind w:firstLine="0"/>
      </w:pPr>
    </w:p>
    <w:p w:rsidR="002D21AD">
      <w:pPr>
        <w:pStyle w:val="BodyText"/>
        <w:spacing w:after="0"/>
        <w:ind w:firstLine="0"/>
        <w:rPr>
          <w:b/>
        </w:rPr>
      </w:pPr>
      <w:r>
        <w:rPr>
          <w:b/>
        </w:rPr>
        <w:t>Agenda</w:t>
      </w:r>
    </w:p>
    <w:p w:rsidR="002D21AD">
      <w:pPr>
        <w:pStyle w:val="BodyText"/>
        <w:spacing w:after="0"/>
        <w:ind w:firstLine="0"/>
        <w:rPr>
          <w:b/>
        </w:rPr>
      </w:pPr>
    </w:p>
    <w:p w:rsidR="002D21AD">
      <w:pPr>
        <w:pStyle w:val="BodyText"/>
        <w:spacing w:after="0"/>
        <w:ind w:firstLine="0"/>
      </w:pPr>
      <w:r>
        <w:t>1100 - Welcome and sign in.</w:t>
      </w:r>
    </w:p>
    <w:p w:rsidR="002D21AD">
      <w:pPr>
        <w:pStyle w:val="BodyText"/>
        <w:spacing w:after="0"/>
        <w:ind w:firstLine="0"/>
      </w:pPr>
    </w:p>
    <w:p w:rsidR="00DA02AD" w:rsidRPr="00DA02AD" w:rsidP="00DA02AD">
      <w:pPr>
        <w:pStyle w:val="BodyText"/>
        <w:ind w:firstLine="0"/>
      </w:pPr>
      <w:r>
        <w:t>1110</w:t>
      </w:r>
      <w:r w:rsidR="00190CB2">
        <w:t xml:space="preserve"> - </w:t>
      </w:r>
      <w:r w:rsidR="00190CB2">
        <w:rPr>
          <w:b/>
        </w:rPr>
        <w:t>CLE</w:t>
      </w:r>
      <w:r w:rsidR="00190CB2">
        <w:t xml:space="preserve"> (1 hour CLE credit) </w:t>
      </w:r>
      <w:r>
        <w:t xml:space="preserve">(Those unable to attend in person may dial in, </w:t>
      </w:r>
      <w:r w:rsidRPr="00DA02AD">
        <w:t>515-604-9099</w:t>
      </w:r>
      <w:r>
        <w:t>, access code:</w:t>
      </w:r>
      <w:r w:rsidRPr="00DA02AD">
        <w:t xml:space="preserve"> 130-270-697</w:t>
      </w:r>
      <w:r>
        <w:t>)</w:t>
      </w:r>
    </w:p>
    <w:p w:rsidR="002D21AD">
      <w:pPr>
        <w:pStyle w:val="BodyText"/>
        <w:spacing w:after="0"/>
        <w:ind w:firstLine="0"/>
        <w:rPr>
          <w:rFonts w:cs="Arial"/>
        </w:rPr>
      </w:pPr>
      <w:r>
        <w:tab/>
      </w:r>
      <w:r w:rsidR="0072158E">
        <w:t>1.</w:t>
      </w:r>
      <w:r w:rsidR="0072158E">
        <w:tab/>
      </w:r>
      <w:r w:rsidR="00336A71">
        <w:rPr>
          <w:b/>
          <w:i/>
        </w:rPr>
        <w:t>Maintenance</w:t>
      </w:r>
      <w:r w:rsidR="00D00982">
        <w:rPr>
          <w:b/>
          <w:i/>
        </w:rPr>
        <w:t xml:space="preserve"> </w:t>
      </w:r>
      <w:r w:rsidR="00336A71">
        <w:rPr>
          <w:b/>
          <w:i/>
        </w:rPr>
        <w:t>&amp; Cure</w:t>
      </w:r>
      <w:r w:rsidRPr="00E40F82" w:rsidR="00E40F82">
        <w:rPr>
          <w:b/>
          <w:i/>
        </w:rPr>
        <w:t xml:space="preserve"> </w:t>
      </w:r>
      <w:r w:rsidR="00336A71">
        <w:rPr>
          <w:b/>
          <w:i/>
        </w:rPr>
        <w:t>Update</w:t>
      </w:r>
      <w:r w:rsidR="0072158E">
        <w:rPr>
          <w:b/>
          <w:i/>
        </w:rPr>
        <w:t xml:space="preserve"> </w:t>
      </w:r>
      <w:r w:rsidRPr="0072158E" w:rsidR="0072158E">
        <w:rPr>
          <w:b/>
          <w:i/>
        </w:rPr>
        <w:t>for Inland Waters and Towing Operators</w:t>
      </w:r>
      <w:r w:rsidR="0072158E">
        <w:t xml:space="preserve"> - </w:t>
      </w:r>
      <w:r w:rsidR="00E40F82">
        <w:t xml:space="preserve">– </w:t>
      </w:r>
      <w:r w:rsidRPr="00336A71" w:rsidR="00336A71">
        <w:t>Aaron B. Greenbaum</w:t>
      </w:r>
      <w:r w:rsidR="00336A71">
        <w:t xml:space="preserve">, </w:t>
      </w:r>
      <w:r w:rsidRPr="00336A71" w:rsidR="00336A71">
        <w:t>Pusateri, Johnston, Guillot &amp; Greenbaum, LLC</w:t>
      </w:r>
      <w:r w:rsidR="00336A71">
        <w:t>, New Orleans</w:t>
      </w:r>
      <w:r w:rsidR="008604F2">
        <w:t xml:space="preserve"> (</w:t>
      </w:r>
      <w:r w:rsidR="00E40F82">
        <w:t>30</w:t>
      </w:r>
      <w:r>
        <w:rPr>
          <w:rFonts w:cs="Arial"/>
        </w:rPr>
        <w:t xml:space="preserve"> minutes)</w:t>
      </w:r>
    </w:p>
    <w:p w:rsidR="002D21AD">
      <w:pPr>
        <w:pStyle w:val="BodyText"/>
        <w:spacing w:after="0"/>
        <w:ind w:firstLine="0"/>
      </w:pPr>
    </w:p>
    <w:p w:rsidR="00CF4EA2" w:rsidP="00CF4EA2">
      <w:pPr>
        <w:shd w:val="clear" w:color="auto" w:fill="FFFFFF"/>
        <w:spacing w:after="120" w:line="319" w:lineRule="atLeast"/>
        <w:outlineLvl w:val="6"/>
        <w:rPr>
          <w:rFonts w:cs="Times New Roman"/>
        </w:rPr>
      </w:pPr>
      <w:r>
        <w:tab/>
      </w:r>
      <w:r>
        <w:rPr>
          <w:rStyle w:val="BodyTextChar"/>
        </w:rPr>
        <w:t>2.</w:t>
      </w:r>
      <w:r>
        <w:tab/>
      </w:r>
      <w:r w:rsidRPr="00147220">
        <w:rPr>
          <w:b/>
          <w:i/>
        </w:rPr>
        <w:t>Post-Injury Seaman Arbitration Agreements</w:t>
      </w:r>
      <w:r>
        <w:t>, Marissa Henderson, Ventker Henderson, Norfolk;</w:t>
      </w:r>
      <w:r w:rsidRPr="00147220">
        <w:t xml:space="preserve"> </w:t>
      </w:r>
      <w:r w:rsidRPr="00DD32B1" w:rsidR="00DD32B1">
        <w:t>Tom Canevari, Freehill Hogan &amp; Mahar,</w:t>
      </w:r>
      <w:r w:rsidR="00DD32B1">
        <w:t>New York</w:t>
      </w:r>
      <w:r>
        <w:rPr>
          <w:rFonts w:cs="Times New Roman"/>
        </w:rPr>
        <w:t>; Bill Neubrand, Dominion Maritime Adjusters, Baltimore (30 minutes)</w:t>
      </w:r>
    </w:p>
    <w:p w:rsidR="00CF4EA2" w:rsidP="00CF4EA2">
      <w:pPr>
        <w:shd w:val="clear" w:color="auto" w:fill="FFFFFF"/>
        <w:spacing w:after="120" w:line="319" w:lineRule="atLeast"/>
        <w:outlineLvl w:val="6"/>
        <w:rPr>
          <w:rFonts w:cs="Times New Roman"/>
        </w:rPr>
      </w:pPr>
      <w:r>
        <w:rPr>
          <w:rFonts w:cs="Times New Roman"/>
        </w:rPr>
        <w:t>1210</w:t>
      </w:r>
      <w:r>
        <w:t xml:space="preserve"> - </w:t>
      </w:r>
      <w:r>
        <w:rPr>
          <w:rFonts w:cs="Times New Roman"/>
        </w:rPr>
        <w:t>Odds and Ends Case Update – Kent Roberts, Schwabe, Williamson &amp; Wyatt, Portland</w:t>
      </w:r>
    </w:p>
    <w:p w:rsidR="00CF4EA2" w:rsidP="00CF4EA2">
      <w:pPr>
        <w:shd w:val="clear" w:color="auto" w:fill="FFFFFF"/>
        <w:spacing w:after="120" w:line="319" w:lineRule="atLeast"/>
        <w:outlineLvl w:val="6"/>
        <w:rPr>
          <w:rFonts w:cs="Times New Roman"/>
        </w:rPr>
      </w:pPr>
      <w:r>
        <w:rPr>
          <w:rFonts w:cs="Times New Roman"/>
        </w:rPr>
        <w:t>1220 - Industry Issues Update - Buckley McAllister, McAllister Towing</w:t>
      </w:r>
    </w:p>
    <w:p w:rsidR="002D21AD">
      <w:pPr>
        <w:shd w:val="clear" w:color="auto" w:fill="FFFFFF"/>
        <w:spacing w:after="120" w:line="319" w:lineRule="atLeast"/>
        <w:outlineLvl w:val="6"/>
        <w:rPr>
          <w:rFonts w:cs="Times New Roman"/>
        </w:rPr>
      </w:pPr>
      <w:r>
        <w:rPr>
          <w:rFonts w:cs="Times New Roman"/>
        </w:rPr>
        <w:t>1225 - Good of the Order</w:t>
      </w:r>
    </w:p>
    <w:p w:rsidR="002D21AD">
      <w:pPr>
        <w:shd w:val="clear" w:color="auto" w:fill="FFFFFF"/>
        <w:spacing w:after="120" w:line="319" w:lineRule="atLeast"/>
        <w:outlineLvl w:val="6"/>
        <w:rPr>
          <w:rFonts w:cs="Times New Roman"/>
        </w:rPr>
      </w:pPr>
      <w:r>
        <w:rPr>
          <w:rFonts w:cs="Times New Roman"/>
        </w:rPr>
        <w:t>1230</w:t>
      </w:r>
      <w:r>
        <w:t xml:space="preserve"> - </w:t>
      </w:r>
      <w:r w:rsidR="00190CB2">
        <w:rPr>
          <w:rFonts w:cs="Times New Roman"/>
        </w:rPr>
        <w:t>Adjourn</w:t>
      </w:r>
    </w:p>
    <w:p w:rsidR="002D21AD">
      <w:pPr>
        <w:shd w:val="clear" w:color="auto" w:fill="FFFFFF"/>
        <w:spacing w:after="120" w:line="319" w:lineRule="atLeast"/>
        <w:outlineLvl w:val="6"/>
        <w:rPr>
          <w:rFonts w:cs="Times New Roman"/>
        </w:rPr>
      </w:pPr>
    </w:p>
    <w:p w:rsidR="002D21AD">
      <w:pPr>
        <w:pStyle w:val="Default"/>
        <w:rPr>
          <w:sz w:val="20"/>
          <w:szCs w:val="20"/>
        </w:rPr>
      </w:pPr>
      <w:r>
        <w:rPr>
          <w:sz w:val="20"/>
          <w:szCs w:val="20"/>
        </w:rPr>
        <w:t xml:space="preserve">The Maritime Law Association of the United States (“MLA”) has been certified by the New York State Continuing Legal Education Board as an Accredited Provider of continuing legal education in the State of New York. The MLA will issue CLE credits to New York attorneys who attend the program. The number of credits that can be earned for attendance at this session is 1.00 hour CLE credits in Areas of Professional Practice. Attorneys from states other than New York may be entitled to CLE credits for attending the program and must contact their states’ CLE boards regarding obtaining CLE credits. This program is appropriate for both newly admitted and experienced attorneys.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1A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52ACF">
      <w:rPr>
        <w:rStyle w:val="PageNumber"/>
        <w:noProof/>
      </w:rPr>
      <w:t>1</w:t>
    </w:r>
    <w:r>
      <w:rPr>
        <w:rStyle w:val="PageNumber"/>
      </w:rPr>
      <w:fldChar w:fldCharType="end"/>
    </w:r>
    <w:r>
      <w:rPr>
        <w:rStyle w:val="PageNumber"/>
      </w:rPr>
      <w:t xml:space="preserve"> - </w:t>
    </w:r>
  </w:p>
  <w:p w:rsidR="002D21AD">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Pr="00DD5FCB" w:rsidR="00DD5FCB">
      <w:rPr>
        <w:rStyle w:val="DocID"/>
      </w:rPr>
      <w:t>PDX\073333\149236\CKR\25052916.1</w:t>
    </w:r>
    <w:r>
      <w:rPr>
        <w:rStyle w:val="DocID"/>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1483379-857F-45F9-BC85-55781C5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outlineLvl w:val="0"/>
    </w:pPr>
    <w:rPr>
      <w:rFonts w:eastAsiaTheme="majorEastAsia" w:cstheme="majorBidi"/>
      <w:b/>
      <w:bCs/>
      <w:kern w:val="32"/>
      <w:szCs w:val="28"/>
    </w:rPr>
  </w:style>
  <w:style w:type="paragraph" w:styleId="Heading2">
    <w:name w:val="heading 2"/>
    <w:basedOn w:val="Normal"/>
    <w:next w:val="Normal"/>
    <w:link w:val="Heading2Char"/>
    <w:uiPriority w:val="9"/>
    <w:semiHidden/>
    <w:unhideWhenUsed/>
    <w:qFormat/>
    <w:pPr>
      <w:keepNex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pPr>
      <w:outlineLvl w:val="2"/>
    </w:pPr>
    <w:rPr>
      <w:rFonts w:eastAsiaTheme="majorEastAsia" w:cstheme="majorBidi"/>
      <w:bCs/>
    </w:rPr>
  </w:style>
  <w:style w:type="paragraph" w:styleId="Heading4">
    <w:name w:val="heading 4"/>
    <w:basedOn w:val="Normal"/>
    <w:next w:val="Normal"/>
    <w:link w:val="Heading4Char"/>
    <w:uiPriority w:val="9"/>
    <w:semiHidden/>
    <w:unhideWhenUsed/>
    <w:qFormat/>
    <w:pPr>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outlineLvl w:val="4"/>
    </w:pPr>
    <w:rPr>
      <w:rFonts w:eastAsiaTheme="majorEastAsia" w:cstheme="majorBidi"/>
    </w:rPr>
  </w:style>
  <w:style w:type="paragraph" w:styleId="Heading6">
    <w:name w:val="heading 6"/>
    <w:basedOn w:val="Normal"/>
    <w:next w:val="Normal"/>
    <w:link w:val="Heading6Char"/>
    <w:uiPriority w:val="9"/>
    <w:semiHidden/>
    <w:unhideWhenUsed/>
    <w:qFormat/>
    <w:pPr>
      <w:outlineLvl w:val="5"/>
    </w:pPr>
    <w:rPr>
      <w:rFonts w:eastAsiaTheme="majorEastAsia" w:cstheme="majorBidi"/>
      <w:iCs/>
    </w:rPr>
  </w:style>
  <w:style w:type="paragraph" w:styleId="Heading7">
    <w:name w:val="heading 7"/>
    <w:basedOn w:val="Normal"/>
    <w:next w:val="Normal"/>
    <w:link w:val="Heading7Char"/>
    <w:uiPriority w:val="9"/>
    <w:semiHidden/>
    <w:unhideWhenUsed/>
    <w:qFormat/>
    <w:pPr>
      <w:outlineLvl w:val="6"/>
    </w:pPr>
    <w:rPr>
      <w:rFonts w:eastAsiaTheme="majorEastAsia" w:cstheme="majorBidi"/>
      <w:iCs/>
    </w:rPr>
  </w:style>
  <w:style w:type="paragraph" w:styleId="Heading8">
    <w:name w:val="heading 8"/>
    <w:basedOn w:val="Normal"/>
    <w:next w:val="Normal"/>
    <w:link w:val="Heading8Char"/>
    <w:uiPriority w:val="9"/>
    <w:semiHidden/>
    <w:unhideWhenUsed/>
    <w:qFormat/>
    <w:pPr>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style>
  <w:style w:type="paragraph" w:customStyle="1" w:styleId="TOCPage">
    <w:name w:val="TOC Page"/>
    <w:basedOn w:val="Normal"/>
    <w:semiHidden/>
    <w:pPr>
      <w:spacing w:after="240"/>
      <w:jc w:val="right"/>
    </w:pPr>
    <w:rPr>
      <w:b/>
    </w:r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character" w:customStyle="1" w:styleId="Heading1Char">
    <w:name w:val="Heading 1 Char"/>
    <w:basedOn w:val="DefaultParagraphFont"/>
    <w:link w:val="Heading1"/>
    <w:uiPriority w:val="9"/>
    <w:rPr>
      <w:rFonts w:eastAsiaTheme="majorEastAsia" w:cstheme="majorBidi"/>
      <w:b/>
      <w:bCs/>
      <w:kern w:val="32"/>
      <w:szCs w:val="28"/>
    </w:rPr>
  </w:style>
  <w:style w:type="character" w:customStyle="1" w:styleId="DocID">
    <w:name w:val="DocID"/>
    <w:basedOn w:val="DefaultParagraphFont"/>
    <w:uiPriority w:val="1"/>
    <w:rPr>
      <w:sz w:val="16"/>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eastAsiaTheme="majorEastAsia" w:cstheme="majorBidi"/>
      <w:iCs/>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paragraph" w:styleId="TOCHeading">
    <w:name w:val="TOC Heading"/>
    <w:basedOn w:val="Normal"/>
    <w:unhideWhenUsed/>
    <w:qFormat/>
    <w:pPr>
      <w:spacing w:after="240"/>
      <w:jc w:val="center"/>
    </w:pPr>
    <w:rPr>
      <w:b/>
    </w:rPr>
  </w:style>
  <w:style w:type="paragraph" w:customStyle="1" w:styleId="BodyText4">
    <w:name w:val="Body Text 4"/>
    <w:basedOn w:val="Normal"/>
    <w:pPr>
      <w:spacing w:after="240"/>
      <w:ind w:firstLine="2880"/>
    </w:pPr>
  </w:style>
  <w:style w:type="paragraph" w:styleId="BodyText2">
    <w:name w:val="Body Text 2"/>
    <w:basedOn w:val="Normal"/>
    <w:link w:val="BodyText2Char"/>
    <w:pPr>
      <w:spacing w:after="240"/>
      <w:ind w:firstLine="1440"/>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240"/>
      <w:ind w:firstLine="2160"/>
    </w:pPr>
    <w:rPr>
      <w:szCs w:val="16"/>
    </w:rPr>
  </w:style>
  <w:style w:type="character" w:customStyle="1" w:styleId="BodyText3Char">
    <w:name w:val="Body Text 3 Char"/>
    <w:basedOn w:val="DefaultParagraphFont"/>
    <w:link w:val="BodyText3"/>
    <w:rPr>
      <w:szCs w:val="16"/>
    </w:rPr>
  </w:style>
  <w:style w:type="paragraph" w:customStyle="1" w:styleId="BodyText5">
    <w:name w:val="Body Text 5"/>
    <w:basedOn w:val="Normal"/>
    <w:pPr>
      <w:spacing w:after="240"/>
      <w:ind w:firstLine="3600"/>
    </w:pPr>
  </w:style>
  <w:style w:type="paragraph" w:customStyle="1" w:styleId="BodyText6">
    <w:name w:val="Body Text 6"/>
    <w:basedOn w:val="Normal"/>
    <w:pPr>
      <w:spacing w:after="240"/>
      <w:ind w:firstLine="4320"/>
    </w:pPr>
  </w:style>
  <w:style w:type="paragraph" w:customStyle="1" w:styleId="BodyText7">
    <w:name w:val="Body Text 7"/>
    <w:basedOn w:val="Normal"/>
    <w:pPr>
      <w:spacing w:after="240"/>
      <w:ind w:firstLine="5040"/>
    </w:pPr>
  </w:style>
  <w:style w:type="paragraph" w:customStyle="1" w:styleId="BodyText8">
    <w:name w:val="Body Text 8"/>
    <w:basedOn w:val="Normal"/>
    <w:pPr>
      <w:spacing w:after="240"/>
      <w:ind w:firstLine="5760"/>
    </w:pPr>
  </w:style>
  <w:style w:type="paragraph" w:customStyle="1" w:styleId="BodyText9">
    <w:name w:val="Body Text 9"/>
    <w:basedOn w:val="Normal"/>
    <w:pPr>
      <w:spacing w:after="240"/>
      <w:ind w:firstLine="6480"/>
    </w:pPr>
  </w:style>
  <w:style w:type="paragraph" w:styleId="TOC1">
    <w:name w:val="toc 1"/>
    <w:basedOn w:val="Normal"/>
    <w:next w:val="Normal"/>
    <w:autoRedefine/>
    <w:uiPriority w:val="39"/>
    <w:unhideWhenUsed/>
    <w:pPr>
      <w:tabs>
        <w:tab w:val="left" w:pos="720"/>
        <w:tab w:val="right" w:leader="dot" w:pos="9350"/>
      </w:tabs>
      <w:spacing w:after="240"/>
      <w:ind w:left="720" w:right="720" w:hanging="720"/>
    </w:pPr>
    <w:rPr>
      <w:noProof/>
    </w:rPr>
  </w:style>
  <w:style w:type="paragraph" w:styleId="TOC2">
    <w:name w:val="toc 2"/>
    <w:basedOn w:val="Normal"/>
    <w:next w:val="Normal"/>
    <w:autoRedefine/>
    <w:uiPriority w:val="39"/>
    <w:unhideWhenUsed/>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39"/>
    <w:unhideWhenUsed/>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39"/>
    <w:unhideWhenUsed/>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unhideWhenUse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unhideWhenUsed/>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unhideWhenUsed/>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unhideWhenUsed/>
    <w:pPr>
      <w:tabs>
        <w:tab w:val="left" w:pos="6480"/>
        <w:tab w:val="right" w:leader="dot" w:pos="9350"/>
      </w:tabs>
      <w:spacing w:after="240"/>
      <w:ind w:left="6480" w:right="720" w:hanging="720"/>
    </w:pPr>
    <w:rPr>
      <w:noProof/>
    </w:rPr>
  </w:style>
  <w:style w:type="paragraph" w:customStyle="1" w:styleId="Default">
    <w:name w:val="Default"/>
    <w:pPr>
      <w:autoSpaceDE w:val="0"/>
      <w:autoSpaceDN w:val="0"/>
      <w:adjustRightInd w:val="0"/>
    </w:pPr>
    <w:rPr>
      <w:rFonts w:cs="Times New Roman"/>
      <w:color w:val="000000"/>
    </w:rPr>
  </w:style>
  <w:style w:type="character" w:styleId="Hyperlink">
    <w:name w:val="Hyperlink"/>
    <w:basedOn w:val="DefaultParagraphFont"/>
    <w:uiPriority w:val="99"/>
    <w:unhideWhenUsed/>
    <w:rsid w:val="00915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2019-04-10T17:54:28Z</dcterms:created>
  <dcterms:modified xsi:type="dcterms:W3CDTF">2019-04-10T17:54:28Z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PDX\073333\149236\CKR\25052916.1</vt:lpwstr>
  </property>
  <property fmtid="{D5CDD505-2E9C-101B-9397-08002B2CF9AE}" pid="3" name="DocumentType">
    <vt:lpwstr>pcgBlank</vt:lpwstr>
  </property>
</Properties>
</file>