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E9F0" w14:textId="2199ED9A" w:rsidR="000C25AB" w:rsidRPr="00533B0A" w:rsidRDefault="000C25AB" w:rsidP="000C25AB">
      <w:pPr>
        <w:pStyle w:val="PlainText"/>
        <w:ind w:left="720" w:right="720"/>
        <w:jc w:val="center"/>
        <w:rPr>
          <w:rFonts w:ascii="Book Antiqua" w:hAnsi="Book Antiqua"/>
          <w:b/>
          <w:bCs/>
          <w:sz w:val="24"/>
          <w:szCs w:val="24"/>
          <w:u w:val="single"/>
        </w:rPr>
      </w:pPr>
      <w:r w:rsidRPr="00533B0A">
        <w:rPr>
          <w:rFonts w:ascii="Book Antiqua" w:hAnsi="Book Antiqua"/>
          <w:b/>
          <w:bCs/>
          <w:sz w:val="24"/>
          <w:szCs w:val="24"/>
          <w:u w:val="single"/>
        </w:rPr>
        <w:t>CLE CREDITS</w:t>
      </w:r>
    </w:p>
    <w:p w14:paraId="60A4DF8F" w14:textId="77777777" w:rsidR="000C25AB" w:rsidRDefault="000C25AB" w:rsidP="000C25AB">
      <w:pPr>
        <w:pStyle w:val="PlainText"/>
        <w:ind w:left="720" w:right="720"/>
      </w:pPr>
    </w:p>
    <w:p w14:paraId="3CDF54DE" w14:textId="499B4966" w:rsidR="00533B0A" w:rsidRPr="00533B0A" w:rsidRDefault="00533B0A" w:rsidP="00533B0A">
      <w:pPr>
        <w:jc w:val="both"/>
        <w:rPr>
          <w:rFonts w:ascii="Times New Roman" w:hAnsi="Times New Roman" w:cs="Times New Roman"/>
          <w:sz w:val="24"/>
          <w:szCs w:val="24"/>
        </w:rPr>
      </w:pPr>
      <w:r w:rsidRPr="00533B0A">
        <w:rPr>
          <w:rFonts w:ascii="Book Antiqua" w:hAnsi="Book Antiqua"/>
          <w:sz w:val="24"/>
          <w:szCs w:val="24"/>
        </w:rPr>
        <w:t>The Maritime Law Association of the United States (“MLAUS”) is an Accredited Provider of New York continuing legal education (“CLE”).  The program will be appropriate for both experienced and newly-admitted attorneys (Non-Transitional and Transitional).  1.0 CLE credits in Areas of Professional Practice can be earned for attendance at the entire program.  The MLAUS will issue New York CLE certificates to attorneys who attend the program.  Attorneys admitted in juris</w:t>
      </w:r>
      <w:r w:rsidRPr="00533B0A">
        <w:rPr>
          <w:rFonts w:ascii="Book Antiqua" w:hAnsi="Book Antiqua"/>
          <w:sz w:val="24"/>
          <w:szCs w:val="24"/>
        </w:rPr>
        <w:softHyphen/>
        <w:t>dictions other than New York may be entitled to CLE credits for attending the program and should consult with their jurisdictions’ CLE authorities.</w:t>
      </w:r>
    </w:p>
    <w:p w14:paraId="27FCA08E" w14:textId="21A83870" w:rsidR="000C25AB" w:rsidRPr="00533B0A" w:rsidRDefault="000C25AB" w:rsidP="000C25AB">
      <w:pPr>
        <w:pStyle w:val="PlainText"/>
        <w:ind w:left="720" w:right="720"/>
        <w:jc w:val="both"/>
        <w:rPr>
          <w:rFonts w:ascii="Times New Roman" w:hAnsi="Times New Roman" w:cs="Times New Roman"/>
          <w:sz w:val="24"/>
          <w:szCs w:val="24"/>
        </w:rPr>
      </w:pPr>
    </w:p>
    <w:p w14:paraId="5D2A9956" w14:textId="53C8FE2E" w:rsidR="000C25AB" w:rsidRPr="00533B0A" w:rsidRDefault="000C25AB" w:rsidP="00533B0A">
      <w:pPr>
        <w:pStyle w:val="PlainText"/>
        <w:ind w:right="720"/>
        <w:jc w:val="both"/>
        <w:rPr>
          <w:rFonts w:ascii="Book Antiqua" w:hAnsi="Book Antiqua" w:cs="Times New Roman"/>
          <w:sz w:val="24"/>
          <w:szCs w:val="24"/>
        </w:rPr>
      </w:pPr>
      <w:r w:rsidRPr="00533B0A">
        <w:rPr>
          <w:rFonts w:ascii="Book Antiqua" w:hAnsi="Book Antiqua" w:cs="Times New Roman"/>
          <w:sz w:val="24"/>
          <w:szCs w:val="24"/>
        </w:rPr>
        <w:t xml:space="preserve">In addition, the MLAUS has currently confirmed CLE credits as indicated below </w:t>
      </w:r>
      <w:r w:rsidR="00870D0F">
        <w:rPr>
          <w:rFonts w:ascii="Book Antiqua" w:hAnsi="Book Antiqua" w:cs="Times New Roman"/>
          <w:sz w:val="24"/>
          <w:szCs w:val="24"/>
        </w:rPr>
        <w:t>w</w:t>
      </w:r>
      <w:r w:rsidRPr="00533B0A">
        <w:rPr>
          <w:rFonts w:ascii="Book Antiqua" w:hAnsi="Book Antiqua" w:cs="Times New Roman"/>
          <w:sz w:val="24"/>
          <w:szCs w:val="24"/>
        </w:rPr>
        <w:t>ith the following with States and Territories, and is awaiting responses from several other jurisdictions:</w:t>
      </w:r>
    </w:p>
    <w:p w14:paraId="71A69BD4" w14:textId="77777777" w:rsidR="000C25AB" w:rsidRPr="00533B0A" w:rsidRDefault="000C25AB" w:rsidP="000C25AB">
      <w:pPr>
        <w:pStyle w:val="PlainText"/>
        <w:ind w:left="720" w:right="720"/>
        <w:rPr>
          <w:rFonts w:ascii="Book Antiqua" w:hAnsi="Book Antiqua" w:cs="Times New Roman"/>
          <w:sz w:val="24"/>
          <w:szCs w:val="24"/>
        </w:rPr>
      </w:pPr>
    </w:p>
    <w:p w14:paraId="7D187457" w14:textId="77777777" w:rsidR="000C25AB" w:rsidRPr="00533B0A" w:rsidRDefault="000C25AB" w:rsidP="000C25AB">
      <w:pPr>
        <w:spacing w:after="0" w:line="240" w:lineRule="auto"/>
        <w:ind w:left="720"/>
        <w:rPr>
          <w:rFonts w:ascii="Book Antiqua" w:hAnsi="Book Antiqua" w:cs="Times New Roman"/>
          <w:b/>
          <w:bCs/>
          <w:sz w:val="24"/>
          <w:szCs w:val="24"/>
        </w:rPr>
      </w:pPr>
      <w:r w:rsidRPr="00533B0A">
        <w:rPr>
          <w:rFonts w:ascii="Book Antiqua" w:hAnsi="Book Antiqua" w:cs="Times New Roman"/>
          <w:b/>
          <w:bCs/>
          <w:sz w:val="24"/>
          <w:szCs w:val="24"/>
        </w:rPr>
        <w:t>Georgia</w:t>
      </w:r>
    </w:p>
    <w:p w14:paraId="2E343B39" w14:textId="77777777" w:rsidR="000C25AB" w:rsidRPr="00533B0A" w:rsidRDefault="000C25AB" w:rsidP="000C25AB">
      <w:pPr>
        <w:spacing w:after="0" w:line="240" w:lineRule="auto"/>
        <w:ind w:left="720"/>
        <w:rPr>
          <w:rFonts w:ascii="Book Antiqua" w:hAnsi="Book Antiqua" w:cs="Times New Roman"/>
          <w:b/>
          <w:bCs/>
          <w:sz w:val="24"/>
          <w:szCs w:val="24"/>
        </w:rPr>
      </w:pPr>
      <w:r w:rsidRPr="00533B0A">
        <w:rPr>
          <w:rFonts w:ascii="Book Antiqua" w:hAnsi="Book Antiqua" w:cs="Times New Roman"/>
          <w:color w:val="000000"/>
          <w:sz w:val="24"/>
          <w:szCs w:val="24"/>
        </w:rPr>
        <w:t xml:space="preserve">This seminar has been approved by the Commission on Continuing Lawyer Competency of the State Bar of Georgia for mandatory continuing legal education credit in the amount of 1 hour. </w:t>
      </w:r>
    </w:p>
    <w:p w14:paraId="24D0B8E0" w14:textId="77777777" w:rsidR="000C25AB" w:rsidRPr="00533B0A" w:rsidRDefault="000C25AB" w:rsidP="000C25AB">
      <w:pPr>
        <w:spacing w:after="0" w:line="240" w:lineRule="auto"/>
        <w:ind w:left="720"/>
        <w:rPr>
          <w:rFonts w:ascii="Book Antiqua" w:hAnsi="Book Antiqua" w:cs="Times New Roman"/>
          <w:sz w:val="24"/>
          <w:szCs w:val="24"/>
        </w:rPr>
      </w:pPr>
    </w:p>
    <w:p w14:paraId="76512191" w14:textId="77777777" w:rsidR="000C25AB" w:rsidRPr="00533B0A" w:rsidRDefault="000C25AB" w:rsidP="000C25AB">
      <w:pPr>
        <w:spacing w:after="0" w:line="240" w:lineRule="auto"/>
        <w:ind w:left="720"/>
        <w:rPr>
          <w:rFonts w:ascii="Book Antiqua" w:hAnsi="Book Antiqua" w:cs="Times New Roman"/>
          <w:b/>
          <w:bCs/>
          <w:sz w:val="24"/>
          <w:szCs w:val="24"/>
        </w:rPr>
      </w:pPr>
      <w:r w:rsidRPr="00533B0A">
        <w:rPr>
          <w:rFonts w:ascii="Book Antiqua" w:hAnsi="Book Antiqua" w:cs="Times New Roman"/>
          <w:b/>
          <w:bCs/>
          <w:sz w:val="24"/>
          <w:szCs w:val="24"/>
        </w:rPr>
        <w:t>Louisiana</w:t>
      </w:r>
    </w:p>
    <w:p w14:paraId="2181C0B9"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This course was approved for a total of 1 hour(s) of credit, including:</w:t>
      </w:r>
    </w:p>
    <w:p w14:paraId="09CB353A"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Ethics hours: 0</w:t>
      </w:r>
    </w:p>
    <w:p w14:paraId="53C5B881"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Professionalism hour(s): 0</w:t>
      </w:r>
    </w:p>
    <w:p w14:paraId="6343FCCF"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Law office practice hour(s): 0</w:t>
      </w:r>
    </w:p>
    <w:p w14:paraId="42468A22" w14:textId="77777777" w:rsidR="000C25AB" w:rsidRPr="00533B0A" w:rsidRDefault="000C25AB" w:rsidP="000C25AB">
      <w:pPr>
        <w:spacing w:after="0" w:line="240" w:lineRule="auto"/>
        <w:ind w:left="720"/>
        <w:rPr>
          <w:rFonts w:ascii="Book Antiqua" w:hAnsi="Book Antiqua" w:cs="Times New Roman"/>
          <w:sz w:val="24"/>
          <w:szCs w:val="24"/>
        </w:rPr>
      </w:pPr>
    </w:p>
    <w:p w14:paraId="272E1AA3" w14:textId="77777777" w:rsidR="000C25AB" w:rsidRPr="00533B0A" w:rsidRDefault="000C25AB" w:rsidP="000C25AB">
      <w:pPr>
        <w:spacing w:after="0" w:line="240" w:lineRule="auto"/>
        <w:ind w:left="720"/>
        <w:rPr>
          <w:rFonts w:ascii="Book Antiqua" w:hAnsi="Book Antiqua" w:cs="Times New Roman"/>
          <w:b/>
          <w:bCs/>
          <w:sz w:val="24"/>
          <w:szCs w:val="24"/>
        </w:rPr>
      </w:pPr>
      <w:r w:rsidRPr="00533B0A">
        <w:rPr>
          <w:rFonts w:ascii="Book Antiqua" w:hAnsi="Book Antiqua" w:cs="Times New Roman"/>
          <w:b/>
          <w:bCs/>
          <w:sz w:val="24"/>
          <w:szCs w:val="24"/>
        </w:rPr>
        <w:t xml:space="preserve">Missouri </w:t>
      </w:r>
    </w:p>
    <w:p w14:paraId="2EC0A25A"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This seminar was approved for 1.2 total hours, including 0.0 ethics hours and 0.0 elimination of bias hours.</w:t>
      </w:r>
    </w:p>
    <w:p w14:paraId="2F2126F2" w14:textId="77777777" w:rsidR="000C25AB" w:rsidRPr="00533B0A" w:rsidRDefault="000C25AB" w:rsidP="000C25AB">
      <w:pPr>
        <w:spacing w:after="0" w:line="240" w:lineRule="auto"/>
        <w:ind w:left="720"/>
        <w:rPr>
          <w:rFonts w:ascii="Book Antiqua" w:hAnsi="Book Antiqua" w:cs="Times New Roman"/>
          <w:sz w:val="24"/>
          <w:szCs w:val="24"/>
        </w:rPr>
      </w:pPr>
    </w:p>
    <w:p w14:paraId="25DFD9FF" w14:textId="77777777" w:rsidR="000C25AB" w:rsidRPr="00533B0A" w:rsidRDefault="000C25AB" w:rsidP="000C25AB">
      <w:pPr>
        <w:spacing w:after="0" w:line="240" w:lineRule="auto"/>
        <w:ind w:left="720"/>
        <w:rPr>
          <w:rFonts w:ascii="Book Antiqua" w:hAnsi="Book Antiqua" w:cs="Times New Roman"/>
          <w:b/>
          <w:bCs/>
          <w:sz w:val="24"/>
          <w:szCs w:val="24"/>
        </w:rPr>
      </w:pPr>
      <w:r w:rsidRPr="00533B0A">
        <w:rPr>
          <w:rFonts w:ascii="Book Antiqua" w:hAnsi="Book Antiqua" w:cs="Times New Roman"/>
          <w:b/>
          <w:bCs/>
          <w:sz w:val="24"/>
          <w:szCs w:val="24"/>
        </w:rPr>
        <w:t xml:space="preserve">Puerto Rico </w:t>
      </w:r>
    </w:p>
    <w:p w14:paraId="17BADB70"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This seminar is approved for 1 general credit.</w:t>
      </w:r>
    </w:p>
    <w:p w14:paraId="76811C52" w14:textId="77777777" w:rsidR="000C25AB" w:rsidRPr="00533B0A" w:rsidRDefault="000C25AB" w:rsidP="000C25AB">
      <w:pPr>
        <w:spacing w:after="0" w:line="240" w:lineRule="auto"/>
        <w:ind w:left="720"/>
        <w:rPr>
          <w:rFonts w:ascii="Book Antiqua" w:hAnsi="Book Antiqua" w:cs="Times New Roman"/>
          <w:sz w:val="24"/>
          <w:szCs w:val="24"/>
        </w:rPr>
      </w:pPr>
    </w:p>
    <w:p w14:paraId="52285E50" w14:textId="77777777" w:rsidR="000C25AB" w:rsidRPr="00533B0A" w:rsidRDefault="000C25AB" w:rsidP="000C25AB">
      <w:pPr>
        <w:spacing w:after="0" w:line="240" w:lineRule="auto"/>
        <w:ind w:left="720"/>
        <w:rPr>
          <w:rFonts w:ascii="Book Antiqua" w:hAnsi="Book Antiqua" w:cs="Times New Roman"/>
          <w:b/>
          <w:bCs/>
          <w:sz w:val="24"/>
          <w:szCs w:val="24"/>
        </w:rPr>
      </w:pPr>
      <w:r w:rsidRPr="00533B0A">
        <w:rPr>
          <w:rFonts w:ascii="Book Antiqua" w:hAnsi="Book Antiqua" w:cs="Times New Roman"/>
          <w:b/>
          <w:bCs/>
          <w:sz w:val="24"/>
          <w:szCs w:val="24"/>
        </w:rPr>
        <w:t xml:space="preserve">South Carolina </w:t>
      </w:r>
    </w:p>
    <w:p w14:paraId="71B70BE2"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This seminar was approved for 1.00 credits, including:</w:t>
      </w:r>
    </w:p>
    <w:p w14:paraId="164FE1BA"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Ethics -0.00</w:t>
      </w:r>
    </w:p>
    <w:p w14:paraId="11936388"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SA/MH: 0.00</w:t>
      </w:r>
    </w:p>
    <w:p w14:paraId="5E5E0C68" w14:textId="77777777" w:rsidR="000C25AB" w:rsidRPr="00533B0A" w:rsidRDefault="000C25AB" w:rsidP="000C25AB">
      <w:pPr>
        <w:spacing w:after="0" w:line="240" w:lineRule="auto"/>
        <w:ind w:left="720"/>
        <w:rPr>
          <w:rFonts w:ascii="Book Antiqua" w:hAnsi="Book Antiqua" w:cs="Times New Roman"/>
          <w:sz w:val="24"/>
          <w:szCs w:val="24"/>
        </w:rPr>
      </w:pPr>
      <w:r w:rsidRPr="00533B0A">
        <w:rPr>
          <w:rFonts w:ascii="Book Antiqua" w:hAnsi="Book Antiqua" w:cs="Times New Roman"/>
          <w:sz w:val="24"/>
          <w:szCs w:val="24"/>
        </w:rPr>
        <w:t>Trial Ad: 0.00</w:t>
      </w:r>
    </w:p>
    <w:p w14:paraId="573E7E3A" w14:textId="77777777" w:rsidR="00EB046E" w:rsidRPr="00533B0A" w:rsidRDefault="00EB046E" w:rsidP="000C25AB">
      <w:pPr>
        <w:spacing w:after="0" w:line="240" w:lineRule="auto"/>
        <w:rPr>
          <w:rFonts w:ascii="Book Antiqua" w:hAnsi="Book Antiqua" w:cs="Times New Roman"/>
          <w:sz w:val="24"/>
          <w:szCs w:val="24"/>
        </w:rPr>
      </w:pPr>
    </w:p>
    <w:sectPr w:rsidR="00EB046E" w:rsidRPr="0053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D1"/>
    <w:rsid w:val="000C25AB"/>
    <w:rsid w:val="00533B0A"/>
    <w:rsid w:val="007035E0"/>
    <w:rsid w:val="007D4AD1"/>
    <w:rsid w:val="00870D0F"/>
    <w:rsid w:val="00AF131A"/>
    <w:rsid w:val="00EB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6FC2"/>
  <w15:chartTrackingRefBased/>
  <w15:docId w15:val="{EBB279D8-059B-4306-BF60-21DD6146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C25A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C25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25019">
      <w:bodyDiv w:val="1"/>
      <w:marLeft w:val="0"/>
      <w:marRight w:val="0"/>
      <w:marTop w:val="0"/>
      <w:marBottom w:val="0"/>
      <w:divBdr>
        <w:top w:val="none" w:sz="0" w:space="0" w:color="auto"/>
        <w:left w:val="none" w:sz="0" w:space="0" w:color="auto"/>
        <w:bottom w:val="none" w:sz="0" w:space="0" w:color="auto"/>
        <w:right w:val="none" w:sz="0" w:space="0" w:color="auto"/>
      </w:divBdr>
    </w:div>
    <w:div w:id="1666200789">
      <w:bodyDiv w:val="1"/>
      <w:marLeft w:val="0"/>
      <w:marRight w:val="0"/>
      <w:marTop w:val="0"/>
      <w:marBottom w:val="0"/>
      <w:divBdr>
        <w:top w:val="none" w:sz="0" w:space="0" w:color="auto"/>
        <w:left w:val="none" w:sz="0" w:space="0" w:color="auto"/>
        <w:bottom w:val="none" w:sz="0" w:space="0" w:color="auto"/>
        <w:right w:val="none" w:sz="0" w:space="0" w:color="auto"/>
      </w:divBdr>
    </w:div>
    <w:div w:id="20640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 Carey</dc:creator>
  <cp:keywords/>
  <dc:description/>
  <cp:lastModifiedBy>Christopher E. Carey</cp:lastModifiedBy>
  <cp:revision>4</cp:revision>
  <dcterms:created xsi:type="dcterms:W3CDTF">2020-10-27T15:13:00Z</dcterms:created>
  <dcterms:modified xsi:type="dcterms:W3CDTF">2020-10-27T16:00:00Z</dcterms:modified>
</cp:coreProperties>
</file>