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3077A" w14:textId="77777777" w:rsidR="00D52EDF" w:rsidRDefault="00C07273" w:rsidP="00213FF5">
      <w:pPr>
        <w:pStyle w:val="Heading1"/>
        <w:tabs>
          <w:tab w:val="left" w:pos="720"/>
        </w:tabs>
        <w:spacing w:before="0" w:after="0"/>
        <w:ind w:left="720" w:hanging="720"/>
        <w:jc w:val="center"/>
        <w:rPr>
          <w:rFonts w:ascii="Franklin Gothic Heavy" w:hAnsi="Franklin Gothic Heavy" w:cs="Times New Roman"/>
          <w:b w:val="0"/>
          <w:sz w:val="28"/>
          <w:szCs w:val="24"/>
        </w:rPr>
      </w:pPr>
      <w:r w:rsidRPr="005A373A">
        <w:rPr>
          <w:rFonts w:ascii="Franklin Gothic Heavy" w:hAnsi="Franklin Gothic Heavy" w:cs="Times New Roman"/>
          <w:b w:val="0"/>
          <w:sz w:val="28"/>
          <w:szCs w:val="24"/>
        </w:rPr>
        <w:t>CURRENT MARITIME ISSUES</w:t>
      </w:r>
    </w:p>
    <w:p w14:paraId="7012B6F9" w14:textId="77777777" w:rsidR="00EC173F" w:rsidRDefault="00EC173F">
      <w:pPr>
        <w:rPr>
          <w:b/>
        </w:rPr>
      </w:pPr>
    </w:p>
    <w:p w14:paraId="19025EA1" w14:textId="6CE66B76" w:rsidR="00EC173F" w:rsidRDefault="008C1E7A">
      <w:pPr>
        <w:tabs>
          <w:tab w:val="left" w:pos="720"/>
        </w:tabs>
        <w:ind w:left="720" w:hanging="720"/>
        <w:jc w:val="center"/>
      </w:pPr>
      <w:r>
        <w:t>November 2, 2020</w:t>
      </w:r>
    </w:p>
    <w:p w14:paraId="0AF4F6D2" w14:textId="77777777" w:rsidR="00EC173F" w:rsidRDefault="00EC173F">
      <w:pPr>
        <w:tabs>
          <w:tab w:val="left" w:pos="720"/>
        </w:tabs>
        <w:ind w:left="720" w:hanging="720"/>
        <w:jc w:val="center"/>
      </w:pPr>
    </w:p>
    <w:p w14:paraId="72AD8FD5" w14:textId="77777777" w:rsidR="00EC173F" w:rsidRDefault="00932D77" w:rsidP="0008522D">
      <w:pPr>
        <w:pStyle w:val="ListParagraph"/>
        <w:numPr>
          <w:ilvl w:val="0"/>
          <w:numId w:val="18"/>
        </w:numPr>
        <w:shd w:val="clear" w:color="auto" w:fill="D9D9D9"/>
        <w:tabs>
          <w:tab w:val="left" w:pos="540"/>
          <w:tab w:val="left" w:pos="720"/>
        </w:tabs>
      </w:pPr>
      <w:r w:rsidRPr="0008522D">
        <w:rPr>
          <w:b/>
        </w:rPr>
        <w:t>TOWING VESSEL INSPECTION</w:t>
      </w:r>
      <w:r w:rsidR="00AD7E0C" w:rsidRPr="001A7733">
        <w:t xml:space="preserve"> </w:t>
      </w:r>
    </w:p>
    <w:p w14:paraId="0773CB67" w14:textId="77777777" w:rsidR="00EC173F" w:rsidRDefault="00EC173F">
      <w:pPr>
        <w:tabs>
          <w:tab w:val="left" w:pos="720"/>
          <w:tab w:val="left" w:pos="1080"/>
        </w:tabs>
        <w:ind w:left="720"/>
      </w:pPr>
    </w:p>
    <w:p w14:paraId="004EECFD" w14:textId="77777777" w:rsidR="007F196B" w:rsidRDefault="00D73621" w:rsidP="004F5B9D">
      <w:pPr>
        <w:numPr>
          <w:ilvl w:val="0"/>
          <w:numId w:val="2"/>
        </w:numPr>
        <w:tabs>
          <w:tab w:val="left" w:pos="720"/>
          <w:tab w:val="num" w:pos="900"/>
          <w:tab w:val="left" w:pos="1080"/>
        </w:tabs>
        <w:ind w:left="720" w:hanging="720"/>
      </w:pPr>
      <w:r w:rsidRPr="00AD7E0C">
        <w:rPr>
          <w:b/>
        </w:rPr>
        <w:t>Issue:</w:t>
      </w:r>
      <w:r w:rsidRPr="006E25F3">
        <w:t xml:space="preserve">  Section 415 of the Coast Guard </w:t>
      </w:r>
      <w:r w:rsidR="00017A71">
        <w:t>and Maritime Transportation Act,</w:t>
      </w:r>
      <w:r w:rsidRPr="006E25F3">
        <w:t xml:space="preserve"> 2004 (P.L. 108-293) added towing vessels to the list of vessels subject to inspection and authorized the Coast Guard to </w:t>
      </w:r>
      <w:r w:rsidR="00017A71">
        <w:t>draft regu</w:t>
      </w:r>
      <w:r w:rsidR="00427C10">
        <w:t>lations to implement the law</w:t>
      </w:r>
      <w:r w:rsidR="00427C10" w:rsidRPr="009C7B92">
        <w:t xml:space="preserve">.  </w:t>
      </w:r>
      <w:r w:rsidR="00932D77" w:rsidRPr="009C7B92">
        <w:t>On June 20, 2016, the Coast Guard published a final towing vessel inspection rule, establishing Subchapter M of Title 46 of the Code of Federal Regulations.</w:t>
      </w:r>
    </w:p>
    <w:p w14:paraId="6EE64CB8" w14:textId="77777777" w:rsidR="007F196B" w:rsidRDefault="007F196B" w:rsidP="007F196B">
      <w:pPr>
        <w:tabs>
          <w:tab w:val="left" w:pos="720"/>
          <w:tab w:val="left" w:pos="1080"/>
        </w:tabs>
        <w:ind w:left="720"/>
      </w:pPr>
    </w:p>
    <w:p w14:paraId="141A327F" w14:textId="629DD92C" w:rsidR="004032D1" w:rsidRDefault="00D73621" w:rsidP="00932D77">
      <w:pPr>
        <w:numPr>
          <w:ilvl w:val="0"/>
          <w:numId w:val="2"/>
        </w:numPr>
        <w:tabs>
          <w:tab w:val="left" w:pos="720"/>
          <w:tab w:val="num" w:pos="900"/>
          <w:tab w:val="left" w:pos="1080"/>
        </w:tabs>
        <w:ind w:left="720" w:hanging="720"/>
      </w:pPr>
      <w:r w:rsidRPr="007F196B">
        <w:rPr>
          <w:b/>
        </w:rPr>
        <w:t>Status:</w:t>
      </w:r>
      <w:r w:rsidR="00427C10">
        <w:t xml:space="preserve">  </w:t>
      </w:r>
      <w:r w:rsidR="00B17CE6">
        <w:t xml:space="preserve">Towing vessels must </w:t>
      </w:r>
      <w:r w:rsidR="008C1E7A">
        <w:t>obtain a Certificate of Inspection</w:t>
      </w:r>
      <w:r w:rsidR="00B17CE6">
        <w:t xml:space="preserve"> </w:t>
      </w:r>
      <w:r w:rsidR="008C1E7A">
        <w:t xml:space="preserve">certifying compliance </w:t>
      </w:r>
      <w:r w:rsidR="00B17CE6">
        <w:t xml:space="preserve">either by implementing a Coast Guard accepted Towing Safety Management System (TSMS) audited by an approved third-party organization or </w:t>
      </w:r>
      <w:r w:rsidR="008C1E7A">
        <w:t>an</w:t>
      </w:r>
      <w:r w:rsidR="00B17CE6">
        <w:t xml:space="preserve"> annual Coast Guard inspection.  </w:t>
      </w:r>
      <w:r w:rsidR="007906C9">
        <w:t xml:space="preserve">For those </w:t>
      </w:r>
      <w:r w:rsidR="008C1E7A">
        <w:t>operators with more than one vessel</w:t>
      </w:r>
      <w:r w:rsidR="007906C9">
        <w:t xml:space="preserve">, </w:t>
      </w:r>
      <w:r w:rsidR="008C1E7A">
        <w:t>50</w:t>
      </w:r>
      <w:r w:rsidR="007906C9">
        <w:t>% of their fleets are required to be inspected by a third-party inspector to verify compliance by July 20, 20</w:t>
      </w:r>
      <w:r w:rsidR="008C1E7A">
        <w:t>20</w:t>
      </w:r>
      <w:r w:rsidR="007906C9">
        <w:t>.</w:t>
      </w:r>
      <w:r w:rsidR="008C1E7A">
        <w:t xml:space="preserve">  Under Coast Guard Policy Letter 20-01, operators who have not met the requirement should be issued Form CG-835Vs for non-compliance and be required to make their vessels available for inspection within 90 days.</w:t>
      </w:r>
    </w:p>
    <w:p w14:paraId="4C0FF98B" w14:textId="77777777" w:rsidR="00B17CE6" w:rsidRPr="004032D1" w:rsidRDefault="00B17CE6" w:rsidP="00B17CE6">
      <w:pPr>
        <w:tabs>
          <w:tab w:val="left" w:pos="720"/>
          <w:tab w:val="left" w:pos="1080"/>
        </w:tabs>
      </w:pPr>
    </w:p>
    <w:p w14:paraId="1BE5274F" w14:textId="77777777" w:rsidR="004A1F8C" w:rsidRDefault="00D73621" w:rsidP="004A1F8C">
      <w:pPr>
        <w:numPr>
          <w:ilvl w:val="0"/>
          <w:numId w:val="2"/>
        </w:numPr>
        <w:tabs>
          <w:tab w:val="left" w:pos="720"/>
          <w:tab w:val="num" w:pos="900"/>
          <w:tab w:val="left" w:pos="1080"/>
        </w:tabs>
        <w:ind w:left="720" w:hanging="720"/>
      </w:pPr>
      <w:r w:rsidRPr="00B96A6D">
        <w:rPr>
          <w:b/>
        </w:rPr>
        <w:t>Industry Perspective:</w:t>
      </w:r>
      <w:r w:rsidRPr="006E25F3">
        <w:t xml:space="preserve">  </w:t>
      </w:r>
      <w:r w:rsidR="00B17CE6">
        <w:t>This development will bring about a new round of welcome increased safety cu</w:t>
      </w:r>
      <w:r w:rsidR="006E60C8">
        <w:t>l</w:t>
      </w:r>
      <w:r w:rsidR="00B17CE6">
        <w:t>ture for the inland industry.</w:t>
      </w:r>
    </w:p>
    <w:p w14:paraId="4121C50F" w14:textId="77777777" w:rsidR="004A1F8C" w:rsidRPr="004A1F8C" w:rsidRDefault="004A1F8C" w:rsidP="004A1F8C">
      <w:pPr>
        <w:tabs>
          <w:tab w:val="left" w:pos="720"/>
          <w:tab w:val="left" w:pos="1080"/>
        </w:tabs>
      </w:pPr>
    </w:p>
    <w:p w14:paraId="4791B59A" w14:textId="77777777" w:rsidR="00DE1760" w:rsidRPr="0008522D" w:rsidRDefault="00EF19EC" w:rsidP="0008522D">
      <w:pPr>
        <w:pStyle w:val="ListParagraph"/>
        <w:numPr>
          <w:ilvl w:val="0"/>
          <w:numId w:val="18"/>
        </w:numPr>
        <w:rPr>
          <w:b/>
          <w:highlight w:val="lightGray"/>
          <w:lang w:val="fr-FR"/>
        </w:rPr>
      </w:pPr>
      <w:r w:rsidRPr="0008522D">
        <w:rPr>
          <w:b/>
          <w:highlight w:val="lightGray"/>
          <w:lang w:val="fr-FR"/>
        </w:rPr>
        <w:t>VESSEL DISCHARGES</w:t>
      </w:r>
      <w:r w:rsidR="00004979" w:rsidRPr="0008522D">
        <w:rPr>
          <w:b/>
          <w:highlight w:val="lightGray"/>
          <w:lang w:val="fr-FR"/>
        </w:rPr>
        <w:t>/INVASIVE SPECIES</w:t>
      </w:r>
    </w:p>
    <w:p w14:paraId="3BF0B707" w14:textId="77777777" w:rsidR="00EC173F" w:rsidRPr="00004979" w:rsidRDefault="00EC173F">
      <w:pPr>
        <w:tabs>
          <w:tab w:val="left" w:pos="720"/>
        </w:tabs>
        <w:ind w:left="720" w:hanging="720"/>
        <w:rPr>
          <w:lang w:val="fr-FR"/>
        </w:rPr>
      </w:pPr>
    </w:p>
    <w:p w14:paraId="1CAA5878" w14:textId="77777777" w:rsidR="00EC173F" w:rsidRDefault="00DE1760" w:rsidP="004F5B9D">
      <w:pPr>
        <w:numPr>
          <w:ilvl w:val="0"/>
          <w:numId w:val="4"/>
        </w:numPr>
        <w:tabs>
          <w:tab w:val="left" w:pos="720"/>
        </w:tabs>
        <w:ind w:left="720" w:hanging="720"/>
        <w:rPr>
          <w:b/>
        </w:rPr>
      </w:pPr>
      <w:r w:rsidRPr="00BB2918">
        <w:rPr>
          <w:b/>
        </w:rPr>
        <w:t>History</w:t>
      </w:r>
    </w:p>
    <w:p w14:paraId="4E10ADAA" w14:textId="77777777" w:rsidR="00EC173F" w:rsidRDefault="00EC173F">
      <w:pPr>
        <w:tabs>
          <w:tab w:val="left" w:pos="720"/>
        </w:tabs>
        <w:ind w:left="720" w:hanging="720"/>
      </w:pPr>
    </w:p>
    <w:p w14:paraId="70E323D4" w14:textId="77777777" w:rsidR="00EC173F" w:rsidRDefault="00DE1760" w:rsidP="004F5B9D">
      <w:pPr>
        <w:numPr>
          <w:ilvl w:val="1"/>
          <w:numId w:val="4"/>
        </w:numPr>
        <w:tabs>
          <w:tab w:val="left" w:pos="720"/>
        </w:tabs>
        <w:ind w:left="720" w:hanging="720"/>
      </w:pPr>
      <w:r>
        <w:t xml:space="preserve">First passed in 1972, Section 301(a) of the Clean Water Act provides that the discharge of any pollutant </w:t>
      </w:r>
      <w:r w:rsidR="00E34E01">
        <w:t>by any person shall be unlawful</w:t>
      </w:r>
      <w:r>
        <w:t xml:space="preserve"> unless the discharge is in compliance with other sections of the CWA.  33 U</w:t>
      </w:r>
      <w:r w:rsidR="00E34E01">
        <w:t xml:space="preserve">.S.C. 1311(a). </w:t>
      </w:r>
      <w:r>
        <w:t xml:space="preserve">Discharges of otherwise covered pollutants is permitted under a National Pollutant Discharge Elimination System (NPDES) permit.  33 U.S.C. 1342.  </w:t>
      </w:r>
      <w:r w:rsidR="005D5B70">
        <w:t xml:space="preserve">In 1973, by regulation, the EPA excluded discharges incidental to the normal operation of vessels from NPDES permitting.  40 C.F.R. 122.3(a), 38 FR 13528, May 22, 1973.  </w:t>
      </w:r>
    </w:p>
    <w:p w14:paraId="54E26A62" w14:textId="77777777" w:rsidR="00D1288D" w:rsidRDefault="00D1288D" w:rsidP="00D1288D">
      <w:pPr>
        <w:tabs>
          <w:tab w:val="left" w:pos="720"/>
        </w:tabs>
        <w:ind w:left="720"/>
      </w:pPr>
    </w:p>
    <w:p w14:paraId="0D1820E0" w14:textId="094653EC" w:rsidR="00D1288D" w:rsidRDefault="005D5B70" w:rsidP="004F5B9D">
      <w:pPr>
        <w:numPr>
          <w:ilvl w:val="1"/>
          <w:numId w:val="4"/>
        </w:numPr>
        <w:tabs>
          <w:tab w:val="left" w:pos="720"/>
        </w:tabs>
        <w:ind w:left="720" w:hanging="720"/>
      </w:pPr>
      <w:r>
        <w:t>The Coast Guard began mandating ballast water management and reporting under the National Invasive Species Act in 2004.</w:t>
      </w:r>
      <w:r w:rsidR="00672A33">
        <w:t xml:space="preserve">  Currently, the Coast Guard has identified </w:t>
      </w:r>
      <w:r w:rsidR="00415ACB">
        <w:t xml:space="preserve">at least </w:t>
      </w:r>
      <w:r w:rsidR="00672A33">
        <w:t>15 type</w:t>
      </w:r>
      <w:r w:rsidR="007906C9">
        <w:t>-</w:t>
      </w:r>
      <w:r w:rsidR="00672A33">
        <w:t>approved ballast systems that meet the federal ballast water discharge standard.</w:t>
      </w:r>
    </w:p>
    <w:p w14:paraId="71B1DABC" w14:textId="77777777" w:rsidR="00EC173F" w:rsidRDefault="00EC173F">
      <w:pPr>
        <w:tabs>
          <w:tab w:val="left" w:pos="720"/>
        </w:tabs>
        <w:ind w:left="720"/>
      </w:pPr>
    </w:p>
    <w:p w14:paraId="23E3985B" w14:textId="019EAABA" w:rsidR="00D70425" w:rsidRDefault="00672A33" w:rsidP="00797745">
      <w:pPr>
        <w:numPr>
          <w:ilvl w:val="1"/>
          <w:numId w:val="4"/>
        </w:numPr>
        <w:tabs>
          <w:tab w:val="left" w:pos="720"/>
        </w:tabs>
        <w:ind w:left="720" w:hanging="720"/>
      </w:pPr>
      <w:r>
        <w:t>In 200</w:t>
      </w:r>
      <w:r w:rsidR="00797745">
        <w:t>8</w:t>
      </w:r>
      <w:r>
        <w:t xml:space="preserve">, </w:t>
      </w:r>
      <w:r w:rsidR="00797745">
        <w:t>following litigation in the Ninth Circuit, the EPA began regulating vessel discharges through a Vessel General Permit program.</w:t>
      </w:r>
      <w:r w:rsidR="00DE1760">
        <w:t xml:space="preserve"> </w:t>
      </w:r>
      <w:r w:rsidR="00DE1760" w:rsidRPr="00DD0C17">
        <w:t xml:space="preserve">Northwest </w:t>
      </w:r>
      <w:proofErr w:type="spellStart"/>
      <w:r w:rsidR="00DE1760" w:rsidRPr="00DD0C17">
        <w:t>Envtl</w:t>
      </w:r>
      <w:proofErr w:type="spellEnd"/>
      <w:r w:rsidR="00DE1760" w:rsidRPr="00DD0C17">
        <w:t>. Advocates et al v. United States EPA</w:t>
      </w:r>
      <w:r w:rsidR="00DE1760">
        <w:t xml:space="preserve">, 2005 U.S. Dist. LEXIS 5373 (N.D. Cal. 2005); </w:t>
      </w:r>
      <w:r w:rsidR="00DE1760" w:rsidRPr="00797745">
        <w:rPr>
          <w:u w:val="single"/>
        </w:rPr>
        <w:t>affirmed</w:t>
      </w:r>
      <w:r w:rsidR="00DE1760">
        <w:t xml:space="preserve"> </w:t>
      </w:r>
      <w:r w:rsidR="00DE1760" w:rsidRPr="00DD0C17">
        <w:t xml:space="preserve">Northwest </w:t>
      </w:r>
      <w:proofErr w:type="spellStart"/>
      <w:r w:rsidR="00DE1760" w:rsidRPr="00DD0C17">
        <w:t>Envtl</w:t>
      </w:r>
      <w:proofErr w:type="spellEnd"/>
      <w:r w:rsidR="00DE1760" w:rsidRPr="00DD0C17">
        <w:t>. Advocates et al v. United States EPA,</w:t>
      </w:r>
      <w:r w:rsidR="00DE1760">
        <w:t xml:space="preserve"> 537 F.3d 1006 (9</w:t>
      </w:r>
      <w:r w:rsidR="00DE1760" w:rsidRPr="00797745">
        <w:rPr>
          <w:vertAlign w:val="superscript"/>
        </w:rPr>
        <w:t>th</w:t>
      </w:r>
      <w:r w:rsidR="00DE1760">
        <w:t xml:space="preserve"> Cir. 2008); </w:t>
      </w:r>
      <w:r w:rsidR="00DE1760" w:rsidRPr="00797745">
        <w:rPr>
          <w:u w:val="single"/>
        </w:rPr>
        <w:t>on remand</w:t>
      </w:r>
      <w:r w:rsidR="00DE1760">
        <w:t xml:space="preserve"> </w:t>
      </w:r>
      <w:r w:rsidR="00DE1760" w:rsidRPr="00DD0C17">
        <w:t xml:space="preserve">Northwest </w:t>
      </w:r>
      <w:proofErr w:type="spellStart"/>
      <w:r w:rsidR="00DE1760" w:rsidRPr="00DD0C17">
        <w:t>Envtl</w:t>
      </w:r>
      <w:proofErr w:type="spellEnd"/>
      <w:r w:rsidR="00DE1760" w:rsidRPr="00DD0C17">
        <w:t xml:space="preserve">. Advocates et al v. United States EPA, 2008 U.S. Dist. </w:t>
      </w:r>
      <w:r w:rsidR="00DE1760" w:rsidRPr="00DD0C17">
        <w:lastRenderedPageBreak/>
        <w:t>LEXIS 66738</w:t>
      </w:r>
      <w:r w:rsidR="00DE1760">
        <w:t xml:space="preserve"> (N.D. Cal. August 31, 2008).</w:t>
      </w:r>
      <w:r w:rsidR="00797745">
        <w:t xml:space="preserve">  </w:t>
      </w:r>
      <w:r w:rsidR="00C47D7D">
        <w:t xml:space="preserve">Pursuant to the </w:t>
      </w:r>
      <w:r w:rsidR="00785ECB" w:rsidRPr="00797745">
        <w:rPr>
          <w:u w:val="single"/>
        </w:rPr>
        <w:t xml:space="preserve">Northwest </w:t>
      </w:r>
      <w:r w:rsidR="00C47D7D" w:rsidRPr="00797745">
        <w:rPr>
          <w:u w:val="single"/>
        </w:rPr>
        <w:t xml:space="preserve">Environmental </w:t>
      </w:r>
      <w:r w:rsidR="00785ECB" w:rsidRPr="00797745">
        <w:rPr>
          <w:u w:val="single"/>
        </w:rPr>
        <w:t>Advocates</w:t>
      </w:r>
      <w:r w:rsidR="00785ECB">
        <w:t xml:space="preserve"> case, t</w:t>
      </w:r>
      <w:r w:rsidR="00D046CD" w:rsidRPr="00785ECB">
        <w:t>he</w:t>
      </w:r>
      <w:r w:rsidR="00D046CD">
        <w:t xml:space="preserve"> EPA promulgated a Ves</w:t>
      </w:r>
      <w:r w:rsidR="00785ECB">
        <w:t>sel General Permit</w:t>
      </w:r>
      <w:r w:rsidR="005D5B70">
        <w:t xml:space="preserve"> (“VGP”) under the Clean Water Act. </w:t>
      </w:r>
      <w:r>
        <w:t xml:space="preserve"> </w:t>
      </w:r>
      <w:r w:rsidR="005D5B70">
        <w:t>In 2013, the EPA VGP adopted the International Maritime Organization (“IMO”) ballast water discharge standard,</w:t>
      </w:r>
      <w:r w:rsidR="005D5B70" w:rsidRPr="005D5B70">
        <w:t xml:space="preserve"> </w:t>
      </w:r>
      <w:r w:rsidR="005D5B70">
        <w:t>but exempt</w:t>
      </w:r>
      <w:r w:rsidR="007906C9">
        <w:t>ed</w:t>
      </w:r>
      <w:r w:rsidR="005D5B70">
        <w:t xml:space="preserve"> barges and self-propelled vessels under 1,600 gross registered tons</w:t>
      </w:r>
      <w:r w:rsidR="00D046CD">
        <w:t xml:space="preserve">.  </w:t>
      </w:r>
      <w:r w:rsidR="0027337A">
        <w:t xml:space="preserve">A number of Native American Tribes and 26 States added conditions to the permit.  </w:t>
      </w:r>
    </w:p>
    <w:p w14:paraId="6D58B1C0" w14:textId="77777777" w:rsidR="00D70425" w:rsidRDefault="00D70425" w:rsidP="00D70425">
      <w:pPr>
        <w:pStyle w:val="ListParagraph"/>
      </w:pPr>
    </w:p>
    <w:p w14:paraId="7EA7F2A8" w14:textId="77777777" w:rsidR="0041699F" w:rsidRDefault="00E518C9" w:rsidP="00207EC1">
      <w:pPr>
        <w:numPr>
          <w:ilvl w:val="1"/>
          <w:numId w:val="4"/>
        </w:numPr>
        <w:tabs>
          <w:tab w:val="left" w:pos="720"/>
        </w:tabs>
        <w:ind w:left="720" w:hanging="720"/>
      </w:pPr>
      <w:r>
        <w:t xml:space="preserve">Separately from this process, a number of jurisdictions have promulgated </w:t>
      </w:r>
      <w:r w:rsidR="00DA429F">
        <w:t>different ballast water or discharge regulations.  In some cases, the standards set are not achievable, presenting significant compliance and enforcement problems</w:t>
      </w:r>
      <w:r w:rsidR="00B92DAD">
        <w:t>, notably in California and New York.</w:t>
      </w:r>
    </w:p>
    <w:p w14:paraId="0C15040E" w14:textId="77777777" w:rsidR="00B92DAD" w:rsidRDefault="00B92DAD" w:rsidP="00B92DAD">
      <w:pPr>
        <w:pStyle w:val="ListParagraph"/>
      </w:pPr>
    </w:p>
    <w:p w14:paraId="1D494BA7" w14:textId="35EF7EF2" w:rsidR="00B315F7" w:rsidRDefault="00A637DD" w:rsidP="00245A6C">
      <w:pPr>
        <w:numPr>
          <w:ilvl w:val="1"/>
          <w:numId w:val="4"/>
        </w:numPr>
        <w:tabs>
          <w:tab w:val="left" w:pos="720"/>
        </w:tabs>
        <w:ind w:left="720" w:hanging="720"/>
      </w:pPr>
      <w:r>
        <w:t>In a separate development, p</w:t>
      </w:r>
      <w:r w:rsidR="00357F01">
        <w:t>ursuant to the Clean Water Act, Section 31</w:t>
      </w:r>
      <w:r w:rsidR="00A73E1A">
        <w:t>2(f)(3), 33 U.S.C. 1322(f)(3), s</w:t>
      </w:r>
      <w:r w:rsidR="00357F01">
        <w:t>tates may petition the US EPA for a determination that adequate facilities exist for the landside removal and treatment of sewage so that the state may prohibit the discharge of sewage</w:t>
      </w:r>
      <w:r w:rsidR="00FE3B1E">
        <w:t xml:space="preserve"> from vessels</w:t>
      </w:r>
      <w:r w:rsidR="00357F01">
        <w:t xml:space="preserve"> into those waters, whether it is treated or not.  </w:t>
      </w:r>
      <w:r w:rsidR="003662FB">
        <w:t>No Discharge Zones</w:t>
      </w:r>
      <w:r w:rsidR="00FE3B1E">
        <w:t xml:space="preserve"> (“NDZ”)</w:t>
      </w:r>
      <w:r w:rsidR="00357F01">
        <w:t xml:space="preserve"> have been proliferating throughout the country, though discharge facilities are often inadequate to handle commercial vessel discharge.  </w:t>
      </w:r>
      <w:r w:rsidR="00FE3B1E">
        <w:t xml:space="preserve">In May 2018, the State of Washington and USEPA designated all of Puget Sound an NDZ.   </w:t>
      </w:r>
      <w:r w:rsidR="00025055">
        <w:t xml:space="preserve">In 2018, suit was filed asserting that the EPA finding of adequate </w:t>
      </w:r>
      <w:proofErr w:type="spellStart"/>
      <w:r w:rsidR="00025055">
        <w:t>pumpout</w:t>
      </w:r>
      <w:proofErr w:type="spellEnd"/>
      <w:r w:rsidR="00025055">
        <w:t xml:space="preserve"> facilities was arbitrary and capricious.  </w:t>
      </w:r>
      <w:r w:rsidR="006B0F13">
        <w:t xml:space="preserve">(U.S. Dist. Ct. D.C. Case No.18-cv-02933, filed Dec. 13, 2018).  </w:t>
      </w:r>
      <w:r w:rsidR="00025055">
        <w:t>Similar NDZ designations are proceeding in Chesapeake Bay</w:t>
      </w:r>
      <w:r w:rsidR="00415ACB">
        <w:t xml:space="preserve">, New Jersey, and New York.  </w:t>
      </w:r>
    </w:p>
    <w:p w14:paraId="1FE812D9" w14:textId="77777777" w:rsidR="00004979" w:rsidRDefault="00004979" w:rsidP="00004979">
      <w:pPr>
        <w:pStyle w:val="ListParagraph"/>
      </w:pPr>
    </w:p>
    <w:p w14:paraId="2527C5C2" w14:textId="77777777" w:rsidR="00004979" w:rsidRDefault="00004979" w:rsidP="00245A6C">
      <w:pPr>
        <w:numPr>
          <w:ilvl w:val="1"/>
          <w:numId w:val="4"/>
        </w:numPr>
        <w:tabs>
          <w:tab w:val="left" w:pos="720"/>
        </w:tabs>
        <w:ind w:left="720" w:hanging="720"/>
      </w:pPr>
      <w:r>
        <w:t xml:space="preserve">In another separate development, there has been a great amount of regulatory attention to methods that might be used to stop the spread of Asian carp and other aquatic invasive species in the Mississippi River and Ohio River systems, specifically with reference to separation from the Great Lakes.  Alternatives include physical barriers, lock closures, </w:t>
      </w:r>
      <w:r w:rsidR="006B5E1E">
        <w:t xml:space="preserve">electrical barriers, and other technological barriers.  A Great Lakes Restoration Initiative has been funded to study further methods to prevent the spread and eradicate invasive species in the area. </w:t>
      </w:r>
    </w:p>
    <w:p w14:paraId="01DA5C6D" w14:textId="77777777" w:rsidR="00EC173F" w:rsidRDefault="00EC173F" w:rsidP="00BE231F">
      <w:pPr>
        <w:tabs>
          <w:tab w:val="left" w:pos="720"/>
        </w:tabs>
      </w:pPr>
    </w:p>
    <w:p w14:paraId="311876DF" w14:textId="77777777" w:rsidR="00EC173F" w:rsidRPr="003662FB" w:rsidRDefault="00DE1760" w:rsidP="004F5B9D">
      <w:pPr>
        <w:numPr>
          <w:ilvl w:val="0"/>
          <w:numId w:val="4"/>
        </w:numPr>
        <w:tabs>
          <w:tab w:val="left" w:pos="720"/>
        </w:tabs>
        <w:ind w:left="720" w:hanging="720"/>
        <w:rPr>
          <w:b/>
        </w:rPr>
      </w:pPr>
      <w:r w:rsidRPr="00BB2918">
        <w:rPr>
          <w:b/>
        </w:rPr>
        <w:t>Current Status</w:t>
      </w:r>
    </w:p>
    <w:p w14:paraId="1295287A" w14:textId="77777777" w:rsidR="00B92DAD" w:rsidRDefault="00B92DAD" w:rsidP="00B92DAD">
      <w:pPr>
        <w:tabs>
          <w:tab w:val="left" w:pos="720"/>
        </w:tabs>
      </w:pPr>
    </w:p>
    <w:p w14:paraId="7F3E842B" w14:textId="77777777" w:rsidR="00A637DD" w:rsidRPr="00A637DD" w:rsidRDefault="00A637DD" w:rsidP="00A637DD">
      <w:pPr>
        <w:numPr>
          <w:ilvl w:val="1"/>
          <w:numId w:val="4"/>
        </w:numPr>
        <w:tabs>
          <w:tab w:val="left" w:pos="720"/>
        </w:tabs>
        <w:ind w:left="720" w:hanging="720"/>
      </w:pPr>
      <w:r>
        <w:t xml:space="preserve">The </w:t>
      </w:r>
      <w:r w:rsidR="00F102AF">
        <w:t xml:space="preserve">Coast Guard </w:t>
      </w:r>
      <w:r>
        <w:t>currently</w:t>
      </w:r>
      <w:r w:rsidR="00134AF5">
        <w:t xml:space="preserve"> </w:t>
      </w:r>
      <w:r w:rsidR="00BE231F">
        <w:t>require</w:t>
      </w:r>
      <w:r w:rsidR="00134AF5">
        <w:t>s</w:t>
      </w:r>
      <w:r w:rsidR="00BE231F">
        <w:t xml:space="preserve"> certain seagoing vessels that discharge non-potable ballast water into the waters of the US to install ballast water treatment systems that meet the International Maritime Organization’s D-2 standa</w:t>
      </w:r>
      <w:r w:rsidR="007C275C">
        <w:t>rd for ballast water treatment.</w:t>
      </w:r>
      <w:r w:rsidR="00BE231F">
        <w:t xml:space="preserve"> </w:t>
      </w:r>
      <w:r w:rsidR="007C275C">
        <w:t xml:space="preserve"> </w:t>
      </w:r>
      <w:r w:rsidR="00BE231F">
        <w:t>The standards apply to seagoing vessels that (1) take</w:t>
      </w:r>
      <w:r w:rsidR="007C275C">
        <w:t xml:space="preserve"> on ballast taken on outside the </w:t>
      </w:r>
      <w:r w:rsidR="00BE231F">
        <w:t>EEZ Zone or (2) are over 1,600 GRT and take on and discharge ballast in mor</w:t>
      </w:r>
      <w:r w:rsidR="007C275C">
        <w:t>e</w:t>
      </w:r>
      <w:r w:rsidR="00BE231F">
        <w:t xml:space="preserve"> than one Captain of the Port Zone</w:t>
      </w:r>
      <w:r w:rsidR="00BE231F" w:rsidRPr="00415ACB">
        <w:t xml:space="preserve">.  </w:t>
      </w:r>
      <w:r w:rsidR="00D70425" w:rsidRPr="00415ACB">
        <w:t xml:space="preserve">There are now </w:t>
      </w:r>
      <w:r w:rsidRPr="00415ACB">
        <w:t>fifteen</w:t>
      </w:r>
      <w:r w:rsidR="00D70425" w:rsidRPr="00415ACB">
        <w:t xml:space="preserve"> </w:t>
      </w:r>
      <w:r w:rsidR="007906C9" w:rsidRPr="00415ACB">
        <w:t xml:space="preserve">USCG </w:t>
      </w:r>
      <w:r w:rsidR="00D70425" w:rsidRPr="00415ACB">
        <w:t>type</w:t>
      </w:r>
      <w:r w:rsidRPr="00415ACB">
        <w:t>-</w:t>
      </w:r>
      <w:r w:rsidR="00D70425" w:rsidRPr="00415ACB">
        <w:t>approved ballast systems that can be used to meet the federal requirements, but these do not meet the state requirements in California or New York.</w:t>
      </w:r>
      <w:r w:rsidR="00D70425" w:rsidRPr="00D70425">
        <w:rPr>
          <w:b/>
          <w:i/>
        </w:rPr>
        <w:t xml:space="preserve">  </w:t>
      </w:r>
    </w:p>
    <w:p w14:paraId="1C615A23" w14:textId="77777777" w:rsidR="00A637DD" w:rsidRDefault="00A637DD" w:rsidP="00A637DD">
      <w:pPr>
        <w:tabs>
          <w:tab w:val="left" w:pos="720"/>
        </w:tabs>
        <w:ind w:left="720"/>
      </w:pPr>
    </w:p>
    <w:p w14:paraId="5DCBB593" w14:textId="76023B67" w:rsidR="00A637DD" w:rsidRDefault="00A637DD" w:rsidP="00A637DD">
      <w:pPr>
        <w:numPr>
          <w:ilvl w:val="1"/>
          <w:numId w:val="4"/>
        </w:numPr>
        <w:tabs>
          <w:tab w:val="left" w:pos="720"/>
        </w:tabs>
        <w:ind w:left="720" w:hanging="720"/>
      </w:pPr>
      <w:r w:rsidRPr="00797745">
        <w:rPr>
          <w:bCs/>
          <w:iCs/>
        </w:rPr>
        <w:t xml:space="preserve">In 2018, the Vessel Incidental Discharge Act amended the CWA to require the EPA and Coast Guard to jointly establish discharge performance standards, grandfathering certain ballast water management systems, replacing the VGP standards and </w:t>
      </w:r>
      <w:r w:rsidRPr="00797745">
        <w:rPr>
          <w:bCs/>
          <w:iCs/>
        </w:rPr>
        <w:lastRenderedPageBreak/>
        <w:t xml:space="preserve">preempting separate state regulations. </w:t>
      </w:r>
      <w:r w:rsidR="00797745">
        <w:rPr>
          <w:bCs/>
          <w:iCs/>
        </w:rPr>
        <w:t xml:space="preserve"> The U.S. EPA </w:t>
      </w:r>
      <w:r w:rsidR="00025055">
        <w:rPr>
          <w:bCs/>
          <w:iCs/>
        </w:rPr>
        <w:t>is required to establish discharge performance standards by December 2020.  Within two years thereafter, equipment standards must be developed to meet the performance standards.</w:t>
      </w:r>
      <w:r w:rsidRPr="00797745">
        <w:rPr>
          <w:bCs/>
          <w:iCs/>
        </w:rPr>
        <w:t xml:space="preserve"> </w:t>
      </w:r>
    </w:p>
    <w:p w14:paraId="6B019F77" w14:textId="77777777" w:rsidR="00724736" w:rsidRDefault="00724736" w:rsidP="006B5E1E"/>
    <w:p w14:paraId="384F9AFB" w14:textId="77777777" w:rsidR="003973F5" w:rsidRDefault="003973F5" w:rsidP="003973F5">
      <w:r>
        <w:rPr>
          <w:b/>
        </w:rPr>
        <w:t xml:space="preserve">3.        </w:t>
      </w:r>
      <w:r w:rsidR="00DE1760" w:rsidRPr="003973F5">
        <w:rPr>
          <w:b/>
        </w:rPr>
        <w:t>Industry Perspective</w:t>
      </w:r>
      <w:r w:rsidR="00213FF5">
        <w:t xml:space="preserve">.  </w:t>
      </w:r>
      <w:r w:rsidR="0076562E">
        <w:t xml:space="preserve">Commerce calls for uniform, practical and consistent </w:t>
      </w:r>
      <w:r>
        <w:t xml:space="preserve">     </w:t>
      </w:r>
    </w:p>
    <w:p w14:paraId="60F967AC" w14:textId="77777777" w:rsidR="00EC173F" w:rsidRDefault="0076562E" w:rsidP="006B5E1E">
      <w:pPr>
        <w:ind w:left="720"/>
      </w:pPr>
      <w:r>
        <w:t>legislation.</w:t>
      </w:r>
      <w:r w:rsidR="006B5E1E">
        <w:t xml:space="preserve">  To remain sustainable, the maritime industry further seeks invasive species mitigation solutions that maintain and enhance navigation with minimal impacts to pollution, efficiency and mariner safety.</w:t>
      </w:r>
    </w:p>
    <w:p w14:paraId="5B0B1F2E" w14:textId="77777777" w:rsidR="004A1F8C" w:rsidRDefault="004A1F8C" w:rsidP="004A1F8C">
      <w:pPr>
        <w:tabs>
          <w:tab w:val="left" w:pos="720"/>
        </w:tabs>
      </w:pPr>
    </w:p>
    <w:p w14:paraId="54B7FE8D" w14:textId="77777777" w:rsidR="00724736" w:rsidRDefault="004A1F8C" w:rsidP="0008522D">
      <w:pPr>
        <w:pStyle w:val="ListParagraph"/>
        <w:numPr>
          <w:ilvl w:val="0"/>
          <w:numId w:val="18"/>
        </w:numPr>
        <w:tabs>
          <w:tab w:val="left" w:pos="720"/>
        </w:tabs>
        <w:rPr>
          <w:b/>
          <w:highlight w:val="lightGray"/>
        </w:rPr>
      </w:pPr>
      <w:r w:rsidRPr="0008522D">
        <w:rPr>
          <w:b/>
          <w:highlight w:val="lightGray"/>
        </w:rPr>
        <w:t>C</w:t>
      </w:r>
      <w:r w:rsidR="00724736" w:rsidRPr="0008522D">
        <w:rPr>
          <w:b/>
          <w:highlight w:val="lightGray"/>
        </w:rPr>
        <w:t>YBER RISK MANAGEMENT</w:t>
      </w:r>
    </w:p>
    <w:p w14:paraId="31AD5512" w14:textId="77777777" w:rsidR="0008522D" w:rsidRDefault="0008522D" w:rsidP="0008522D">
      <w:pPr>
        <w:pStyle w:val="ListParagraph"/>
        <w:tabs>
          <w:tab w:val="left" w:pos="720"/>
        </w:tabs>
        <w:ind w:left="1440"/>
        <w:rPr>
          <w:b/>
          <w:highlight w:val="lightGray"/>
        </w:rPr>
      </w:pPr>
    </w:p>
    <w:p w14:paraId="61A551F4" w14:textId="77777777" w:rsidR="00724736" w:rsidRPr="00576F58" w:rsidRDefault="00724736" w:rsidP="004F5B9D">
      <w:pPr>
        <w:pStyle w:val="ListParagraph"/>
        <w:numPr>
          <w:ilvl w:val="0"/>
          <w:numId w:val="5"/>
        </w:numPr>
        <w:tabs>
          <w:tab w:val="left" w:pos="720"/>
        </w:tabs>
        <w:rPr>
          <w:b/>
        </w:rPr>
      </w:pPr>
      <w:r w:rsidRPr="00576F58">
        <w:rPr>
          <w:b/>
        </w:rPr>
        <w:t xml:space="preserve">Issue.  </w:t>
      </w:r>
      <w:r>
        <w:t>In February, 2013, President Obama issued Executive Order 13636 recognizing cyber intrusions into critical infrastructure as a national and economic security threat.  The Executive Order directs the Department of Homeland Security to establish voluntary cybersecurity information sharing and risk assessment and management programs for the owners and operators of critical infrastructure.</w:t>
      </w:r>
      <w:r w:rsidR="00B92DAD">
        <w:t xml:space="preserve">  </w:t>
      </w:r>
    </w:p>
    <w:p w14:paraId="1E45E33F" w14:textId="77777777" w:rsidR="00724736" w:rsidRPr="00724736" w:rsidRDefault="00724736" w:rsidP="00724736">
      <w:pPr>
        <w:pStyle w:val="ListParagraph"/>
        <w:tabs>
          <w:tab w:val="left" w:pos="720"/>
        </w:tabs>
        <w:rPr>
          <w:b/>
        </w:rPr>
      </w:pPr>
    </w:p>
    <w:p w14:paraId="3569132C" w14:textId="7D17FA69" w:rsidR="00DE31A0" w:rsidRPr="007906C9" w:rsidRDefault="00724736" w:rsidP="00DE31A0">
      <w:pPr>
        <w:pStyle w:val="ListParagraph"/>
        <w:numPr>
          <w:ilvl w:val="0"/>
          <w:numId w:val="5"/>
        </w:numPr>
        <w:tabs>
          <w:tab w:val="left" w:pos="720"/>
        </w:tabs>
      </w:pPr>
      <w:r w:rsidRPr="00576F58">
        <w:rPr>
          <w:b/>
        </w:rPr>
        <w:t>Status.</w:t>
      </w:r>
      <w:r>
        <w:t xml:space="preserve">  </w:t>
      </w:r>
      <w:r w:rsidR="00F0032E" w:rsidRPr="007906C9">
        <w:t xml:space="preserve">In January 2017, the Coast Guard </w:t>
      </w:r>
      <w:r w:rsidR="00030317" w:rsidRPr="007906C9">
        <w:t xml:space="preserve">updated Policy Letter 08-16, which provides guidance for reporting suspicious activity and breaches of security, to include cyber events.  </w:t>
      </w:r>
      <w:r w:rsidR="006B0F13">
        <w:t xml:space="preserve">In March, 2020, the Coast Guard published </w:t>
      </w:r>
      <w:r w:rsidR="00DE31A0">
        <w:t xml:space="preserve">NVIC 01-20, providing guidance for how to address cyber risks in Facility Security Plans.  The International Maritime Organization passed a resolution to ensure that cyber risks will be addressed in Documents of Compliance by January 1, 2021.  </w:t>
      </w:r>
      <w:r w:rsidR="00944334" w:rsidRPr="007906C9">
        <w:t xml:space="preserve">Numerous publications are being distributed by various federal agencies urging voluntary adoption of the National </w:t>
      </w:r>
      <w:r w:rsidR="005A6C41" w:rsidRPr="007906C9">
        <w:t xml:space="preserve">Institute of Standards and Technology Cybersecurity Framework.  For further information, see </w:t>
      </w:r>
      <w:r w:rsidR="00DE31A0" w:rsidRPr="00DE31A0">
        <w:t>https://www.nist.gov/topics/cybersecurity</w:t>
      </w:r>
      <w:r w:rsidR="00DE31A0">
        <w:t>.</w:t>
      </w:r>
    </w:p>
    <w:p w14:paraId="77B47C47" w14:textId="77777777" w:rsidR="00724736" w:rsidRPr="00724736" w:rsidRDefault="00724736" w:rsidP="00724736">
      <w:pPr>
        <w:pStyle w:val="ListParagraph"/>
        <w:rPr>
          <w:b/>
        </w:rPr>
      </w:pPr>
    </w:p>
    <w:p w14:paraId="6210B8FC" w14:textId="77777777" w:rsidR="0008522D" w:rsidRPr="0008522D" w:rsidRDefault="00724736" w:rsidP="0008522D">
      <w:pPr>
        <w:pStyle w:val="ListParagraph"/>
        <w:numPr>
          <w:ilvl w:val="0"/>
          <w:numId w:val="5"/>
        </w:numPr>
        <w:tabs>
          <w:tab w:val="left" w:pos="720"/>
        </w:tabs>
        <w:rPr>
          <w:b/>
        </w:rPr>
      </w:pPr>
      <w:r>
        <w:rPr>
          <w:b/>
        </w:rPr>
        <w:t>Industry Perspective.</w:t>
      </w:r>
      <w:r>
        <w:t xml:space="preserve">  </w:t>
      </w:r>
      <w:r w:rsidR="003973F5">
        <w:t>Responsible operators are adopting cyber risk management procedures as part of their safety management systems.</w:t>
      </w:r>
    </w:p>
    <w:p w14:paraId="36958BDE" w14:textId="77777777" w:rsidR="0008522D" w:rsidRDefault="0008522D" w:rsidP="0008522D">
      <w:pPr>
        <w:pStyle w:val="ListParagraph"/>
        <w:tabs>
          <w:tab w:val="left" w:pos="720"/>
        </w:tabs>
        <w:ind w:left="1440"/>
        <w:rPr>
          <w:b/>
          <w:highlight w:val="lightGray"/>
        </w:rPr>
      </w:pPr>
    </w:p>
    <w:p w14:paraId="222381D7" w14:textId="77777777" w:rsidR="0008522D" w:rsidRPr="0008522D" w:rsidRDefault="0008522D" w:rsidP="0008522D">
      <w:pPr>
        <w:pStyle w:val="ListParagraph"/>
        <w:numPr>
          <w:ilvl w:val="0"/>
          <w:numId w:val="18"/>
        </w:numPr>
        <w:tabs>
          <w:tab w:val="left" w:pos="720"/>
        </w:tabs>
        <w:rPr>
          <w:b/>
          <w:highlight w:val="lightGray"/>
        </w:rPr>
      </w:pPr>
      <w:r w:rsidRPr="0008522D">
        <w:rPr>
          <w:b/>
          <w:highlight w:val="lightGray"/>
        </w:rPr>
        <w:t>RENEWABLE ENRENEWABLE ENERGY PROJECTS</w:t>
      </w:r>
    </w:p>
    <w:p w14:paraId="4738E5CE" w14:textId="77777777" w:rsidR="00EC173F" w:rsidRDefault="00EC173F">
      <w:pPr>
        <w:tabs>
          <w:tab w:val="left" w:pos="720"/>
        </w:tabs>
      </w:pPr>
    </w:p>
    <w:p w14:paraId="6CD4DB5C" w14:textId="477C7055" w:rsidR="00EC173F" w:rsidRDefault="00FB37A2" w:rsidP="004F5B9D">
      <w:pPr>
        <w:pStyle w:val="ListParagraph"/>
        <w:numPr>
          <w:ilvl w:val="0"/>
          <w:numId w:val="7"/>
        </w:numPr>
        <w:tabs>
          <w:tab w:val="left" w:pos="720"/>
        </w:tabs>
      </w:pPr>
      <w:r w:rsidRPr="00576F58">
        <w:rPr>
          <w:b/>
        </w:rPr>
        <w:t>Issue:</w:t>
      </w:r>
      <w:r>
        <w:tab/>
        <w:t>The U.S. Department of Interior Bureau of Ocean Energy Manage</w:t>
      </w:r>
      <w:r w:rsidR="001942DA">
        <w:t>ment (BOEM</w:t>
      </w:r>
      <w:r>
        <w:t xml:space="preserve">) and the Federal Energy Regulatory Commission (FERC) have been developing numerous renewable energy projects, which raise navigational concerns for industry.  </w:t>
      </w:r>
      <w:r w:rsidR="004032D1">
        <w:t>N</w:t>
      </w:r>
      <w:r w:rsidR="00804091">
        <w:t>umerous</w:t>
      </w:r>
      <w:r w:rsidR="004032D1">
        <w:t xml:space="preserve"> commercial wind energy leases have been awarded, and plans are moving forward for projects in Massachusetts, Rhode Island, New York, New Jersey, Maryland, Virginia, North Carolina, and South Carolina.</w:t>
      </w:r>
    </w:p>
    <w:p w14:paraId="3CF05C39" w14:textId="77777777" w:rsidR="004032D1" w:rsidRDefault="004032D1" w:rsidP="004032D1">
      <w:pPr>
        <w:tabs>
          <w:tab w:val="left" w:pos="720"/>
        </w:tabs>
        <w:ind w:left="720"/>
      </w:pPr>
    </w:p>
    <w:p w14:paraId="6C0EBDA9" w14:textId="4DA430CF" w:rsidR="00EC173F" w:rsidRDefault="00E709E2" w:rsidP="004F5B9D">
      <w:pPr>
        <w:pStyle w:val="ListParagraph"/>
        <w:numPr>
          <w:ilvl w:val="0"/>
          <w:numId w:val="7"/>
        </w:numPr>
        <w:tabs>
          <w:tab w:val="left" w:pos="720"/>
        </w:tabs>
      </w:pPr>
      <w:r w:rsidRPr="00576F58">
        <w:rPr>
          <w:b/>
        </w:rPr>
        <w:t xml:space="preserve">Status:  </w:t>
      </w:r>
      <w:r w:rsidR="00932D77" w:rsidRPr="00932D77">
        <w:t xml:space="preserve">In 2010, </w:t>
      </w:r>
      <w:r w:rsidR="00932D77">
        <w:t>President Obama issued an executive order establishing a National Ocean Policy for management of the maritime domain through marine special planning.  While the Administration researched these issues, t</w:t>
      </w:r>
      <w:r w:rsidR="004032D1" w:rsidRPr="00932D77">
        <w:t>he</w:t>
      </w:r>
      <w:r w:rsidR="004032D1">
        <w:t xml:space="preserve"> Coast Guard published an Atlantic Coast Port Access Route Study (ACPARS) </w:t>
      </w:r>
      <w:r w:rsidR="006B0F13">
        <w:t>in 2017, and in 2020 announced a proposed rulemaking to establish an Atlantic Coast safety fairway based on the ACPARS recommendations</w:t>
      </w:r>
      <w:r w:rsidR="004032D1">
        <w:t xml:space="preserve">.  The report acknowledges the potential for conflict </w:t>
      </w:r>
      <w:r w:rsidR="004032D1">
        <w:lastRenderedPageBreak/>
        <w:t>between coastwise maritime transportation routes and proposed offshore wind energy projects.</w:t>
      </w:r>
      <w:r w:rsidR="00932D77">
        <w:t xml:space="preserve">  </w:t>
      </w:r>
    </w:p>
    <w:p w14:paraId="0C8EFD20" w14:textId="77777777" w:rsidR="00EC173F" w:rsidRDefault="00EC173F">
      <w:pPr>
        <w:pStyle w:val="ListParagraph"/>
      </w:pPr>
    </w:p>
    <w:p w14:paraId="64916A7F" w14:textId="41D019EF" w:rsidR="00576F58" w:rsidRDefault="00471085" w:rsidP="004A1F8C">
      <w:pPr>
        <w:pStyle w:val="ListParagraph"/>
        <w:numPr>
          <w:ilvl w:val="0"/>
          <w:numId w:val="7"/>
        </w:numPr>
        <w:tabs>
          <w:tab w:val="left" w:pos="720"/>
        </w:tabs>
        <w:rPr>
          <w:b/>
        </w:rPr>
      </w:pPr>
      <w:r w:rsidRPr="00576F58">
        <w:rPr>
          <w:b/>
        </w:rPr>
        <w:t>Industry Perspective:</w:t>
      </w:r>
      <w:r w:rsidR="00E709E2" w:rsidRPr="00576F58">
        <w:rPr>
          <w:b/>
        </w:rPr>
        <w:t xml:space="preserve">  </w:t>
      </w:r>
      <w:r w:rsidR="006B0F13">
        <w:t>Various industry groups have advocated 9-mile, 5-mile, or 2-mile</w:t>
      </w:r>
      <w:r w:rsidR="0008522D">
        <w:t xml:space="preserve"> setback</w:t>
      </w:r>
      <w:r w:rsidR="006B0F13">
        <w:t>s</w:t>
      </w:r>
      <w:r w:rsidR="0008522D">
        <w:t xml:space="preserve"> from traditional trade lanes, lighting consistent with navigation lights, contingency plans, AIS transponders, “Cut Through” passages for coastwise vessels, cell phone repeaters, and vigilance about compliance with the Jones Act.  </w:t>
      </w:r>
      <w:r w:rsidR="00E709E2" w:rsidRPr="00990E5F">
        <w:t>While</w:t>
      </w:r>
      <w:r w:rsidR="00E709E2">
        <w:t xml:space="preserve"> renewable energy projects promise job creation and will potentially increase maritime activity, due consideration must be given to safe navigation and preservation of infrastructure for maritime commerce.</w:t>
      </w:r>
      <w:r w:rsidR="004A1F8C">
        <w:rPr>
          <w:b/>
        </w:rPr>
        <w:t xml:space="preserve"> </w:t>
      </w:r>
    </w:p>
    <w:p w14:paraId="39AF7AFB" w14:textId="77777777" w:rsidR="0090001A" w:rsidRPr="0090001A" w:rsidRDefault="000E1351" w:rsidP="000E1351">
      <w:pPr>
        <w:pStyle w:val="ListParagraph"/>
        <w:widowControl w:val="0"/>
        <w:tabs>
          <w:tab w:val="left" w:pos="900"/>
        </w:tabs>
        <w:ind w:left="360"/>
        <w:rPr>
          <w:b/>
        </w:rPr>
      </w:pPr>
      <w:r w:rsidRPr="0090001A">
        <w:rPr>
          <w:b/>
        </w:rPr>
        <w:t xml:space="preserve"> </w:t>
      </w:r>
    </w:p>
    <w:p w14:paraId="1C0DB7CB" w14:textId="77777777" w:rsidR="0090001A" w:rsidRPr="0008522D" w:rsidRDefault="0090001A" w:rsidP="009C7B92">
      <w:pPr>
        <w:pStyle w:val="ListParagraph"/>
        <w:numPr>
          <w:ilvl w:val="0"/>
          <w:numId w:val="18"/>
        </w:numPr>
        <w:shd w:val="clear" w:color="auto" w:fill="D9D9D9" w:themeFill="background1" w:themeFillShade="D9"/>
        <w:tabs>
          <w:tab w:val="left" w:pos="720"/>
          <w:tab w:val="left" w:pos="900"/>
        </w:tabs>
        <w:rPr>
          <w:b/>
        </w:rPr>
      </w:pPr>
      <w:r w:rsidRPr="0008522D">
        <w:rPr>
          <w:b/>
          <w:highlight w:val="lightGray"/>
        </w:rPr>
        <w:t xml:space="preserve">LOCAL EFFORTS </w:t>
      </w:r>
      <w:r w:rsidR="009C7B92">
        <w:rPr>
          <w:b/>
          <w:highlight w:val="lightGray"/>
        </w:rPr>
        <w:t>THAT INFRINGE ON</w:t>
      </w:r>
      <w:r w:rsidRPr="0008522D">
        <w:rPr>
          <w:b/>
          <w:highlight w:val="lightGray"/>
        </w:rPr>
        <w:t xml:space="preserve"> INTERSTATE COMMERCE</w:t>
      </w:r>
    </w:p>
    <w:p w14:paraId="55509A98" w14:textId="77777777" w:rsidR="000E1351" w:rsidRDefault="000E1351" w:rsidP="0090001A">
      <w:pPr>
        <w:pStyle w:val="ListParagraph"/>
        <w:tabs>
          <w:tab w:val="left" w:pos="720"/>
          <w:tab w:val="left" w:pos="900"/>
        </w:tabs>
        <w:ind w:left="360"/>
        <w:rPr>
          <w:b/>
        </w:rPr>
      </w:pPr>
    </w:p>
    <w:p w14:paraId="1047ADBC" w14:textId="77777777" w:rsidR="0071249B" w:rsidRDefault="000E1351" w:rsidP="004F5B9D">
      <w:pPr>
        <w:pStyle w:val="ListParagraph"/>
        <w:numPr>
          <w:ilvl w:val="0"/>
          <w:numId w:val="9"/>
        </w:numPr>
        <w:tabs>
          <w:tab w:val="left" w:pos="720"/>
          <w:tab w:val="left" w:pos="900"/>
        </w:tabs>
      </w:pPr>
      <w:r>
        <w:rPr>
          <w:b/>
        </w:rPr>
        <w:t>Issue.</w:t>
      </w:r>
      <w:r>
        <w:t xml:space="preserve">  </w:t>
      </w:r>
      <w:r w:rsidR="0071249B">
        <w:t xml:space="preserve">In 2000, the Supreme Court ruled </w:t>
      </w:r>
      <w:r w:rsidR="00671EA3">
        <w:t>in U.S. v. Locke, that federal laws preempt state regulations</w:t>
      </w:r>
      <w:r w:rsidR="00542362">
        <w:t xml:space="preserve"> on maritime oil transportation.  </w:t>
      </w:r>
    </w:p>
    <w:p w14:paraId="28E0CA15" w14:textId="77777777" w:rsidR="00542362" w:rsidRDefault="00542362" w:rsidP="00542362">
      <w:pPr>
        <w:pStyle w:val="ListParagraph"/>
        <w:tabs>
          <w:tab w:val="left" w:pos="720"/>
          <w:tab w:val="left" w:pos="900"/>
        </w:tabs>
      </w:pPr>
    </w:p>
    <w:p w14:paraId="52B557BA" w14:textId="77777777" w:rsidR="000E1351" w:rsidRDefault="000E1351" w:rsidP="0071249B">
      <w:pPr>
        <w:pStyle w:val="ListParagraph"/>
        <w:numPr>
          <w:ilvl w:val="1"/>
          <w:numId w:val="9"/>
        </w:numPr>
        <w:tabs>
          <w:tab w:val="left" w:pos="720"/>
          <w:tab w:val="left" w:pos="900"/>
        </w:tabs>
      </w:pPr>
      <w:r>
        <w:t xml:space="preserve">Since the 1940s, Portland, Maine has been an important import point for crude oil, which is then delivered by pipeline to Montreal, Canada.  Recent changes in oil markets have caused the Portland Pipeline Corporation to explore reversal of this pipeline, to permit export of oil using the same infrastructure.  </w:t>
      </w:r>
      <w:r w:rsidRPr="000E1351">
        <w:t xml:space="preserve">In 2014, </w:t>
      </w:r>
      <w:r>
        <w:t xml:space="preserve">the City of Portland Maine passed a Clear Skies Ordinance, which prohibited the bulk loading of crude oil onto marine tank vessels in Portland Harbor.  </w:t>
      </w:r>
      <w:r w:rsidR="00542362" w:rsidRPr="008E1F46">
        <w:rPr>
          <w:u w:val="single"/>
        </w:rPr>
        <w:t>Portland Pipeline Corporation v. the City of South Portland</w:t>
      </w:r>
      <w:r w:rsidR="00542362">
        <w:t xml:space="preserve">, </w:t>
      </w:r>
      <w:proofErr w:type="spellStart"/>
      <w:r w:rsidR="00542362" w:rsidRPr="008E1F46">
        <w:t>U.S.Dist</w:t>
      </w:r>
      <w:proofErr w:type="spellEnd"/>
      <w:r w:rsidR="00542362" w:rsidRPr="008E1F46">
        <w:t>. of Maine Case 2:15-cv-00054-JAW</w:t>
      </w:r>
      <w:r w:rsidR="00542362">
        <w:t xml:space="preserve"> was filed on preemption and other grounds.  The trial court upheld the local ordinance, and the trial court’s decision is currently on appeal to the First Circuit.  </w:t>
      </w:r>
    </w:p>
    <w:p w14:paraId="71052895" w14:textId="77777777" w:rsidR="0071249B" w:rsidRDefault="0071249B" w:rsidP="0071249B">
      <w:pPr>
        <w:pStyle w:val="ListParagraph"/>
      </w:pPr>
    </w:p>
    <w:p w14:paraId="6DF2CBB2" w14:textId="77777777" w:rsidR="0071249B" w:rsidRDefault="00542362" w:rsidP="0071249B">
      <w:pPr>
        <w:pStyle w:val="ListParagraph"/>
        <w:numPr>
          <w:ilvl w:val="1"/>
          <w:numId w:val="9"/>
        </w:numPr>
        <w:tabs>
          <w:tab w:val="left" w:pos="720"/>
          <w:tab w:val="left" w:pos="900"/>
        </w:tabs>
      </w:pPr>
      <w:r>
        <w:t>Massachusetts has passed a number of laws known as the Massachusetts Oil Spill Prevention Act, imposing various requirements on tank vessels transiting Buzzards Bay, including escort tugs</w:t>
      </w:r>
      <w:r w:rsidR="00F7074B">
        <w:t>, which differ from the requirements of a Coast Guard promulgation of a Regulated Navigation Area regulation for the same operations in the same waterway</w:t>
      </w:r>
      <w:r>
        <w:t xml:space="preserve">.  A number of separate suits have been </w:t>
      </w:r>
      <w:r w:rsidRPr="00F7074B">
        <w:t>filed</w:t>
      </w:r>
      <w:r w:rsidR="00525FA3">
        <w:t xml:space="preserve"> relating to this matter, resulting most significantly in a finding that the Coast Guard did not comply with NEPA in promulgating its RNA. </w:t>
      </w:r>
      <w:r w:rsidRPr="00F7074B">
        <w:t xml:space="preserve"> </w:t>
      </w:r>
      <w:r w:rsidRPr="00F7074B">
        <w:rPr>
          <w:u w:val="single"/>
        </w:rPr>
        <w:t>U.S. et al v. Massachusetts</w:t>
      </w:r>
      <w:r w:rsidR="00F7074B" w:rsidRPr="00F7074B">
        <w:t xml:space="preserve">, </w:t>
      </w:r>
      <w:r w:rsidR="00F7074B" w:rsidRPr="00F7074B">
        <w:rPr>
          <w:shd w:val="clear" w:color="auto" w:fill="FFFFFF"/>
        </w:rPr>
        <w:t>493 F.3d 1 (1st Cir.</w:t>
      </w:r>
      <w:r w:rsidR="00F7074B">
        <w:rPr>
          <w:shd w:val="clear" w:color="auto" w:fill="FFFFFF"/>
        </w:rPr>
        <w:t xml:space="preserve"> </w:t>
      </w:r>
      <w:r w:rsidR="00F7074B" w:rsidRPr="00F7074B">
        <w:rPr>
          <w:shd w:val="clear" w:color="auto" w:fill="FFFFFF"/>
        </w:rPr>
        <w:t>2007)</w:t>
      </w:r>
      <w:r w:rsidR="00F7074B">
        <w:rPr>
          <w:shd w:val="clear" w:color="auto" w:fill="FFFFFF"/>
        </w:rPr>
        <w:t xml:space="preserve">.  The Coast Guard is working on an environmental assessment and other regulatory actions </w:t>
      </w:r>
      <w:r w:rsidR="00525FA3">
        <w:rPr>
          <w:shd w:val="clear" w:color="auto" w:fill="FFFFFF"/>
        </w:rPr>
        <w:t>relating to this area.</w:t>
      </w:r>
    </w:p>
    <w:p w14:paraId="167D5757" w14:textId="77777777" w:rsidR="008E1F46" w:rsidRDefault="008E1F46" w:rsidP="008E1F46">
      <w:pPr>
        <w:pStyle w:val="ListParagraph"/>
      </w:pPr>
    </w:p>
    <w:p w14:paraId="618C58D4" w14:textId="77777777" w:rsidR="0071249B" w:rsidRDefault="008E1F46" w:rsidP="00F643FB">
      <w:pPr>
        <w:pStyle w:val="ListParagraph"/>
        <w:numPr>
          <w:ilvl w:val="0"/>
          <w:numId w:val="9"/>
        </w:numPr>
        <w:tabs>
          <w:tab w:val="left" w:pos="720"/>
          <w:tab w:val="left" w:pos="900"/>
        </w:tabs>
      </w:pPr>
      <w:r w:rsidRPr="00525FA3">
        <w:rPr>
          <w:b/>
        </w:rPr>
        <w:t>Status.</w:t>
      </w:r>
      <w:r>
        <w:t xml:space="preserve">  </w:t>
      </w:r>
      <w:r w:rsidR="00525FA3">
        <w:t xml:space="preserve">While federal regulatory authorities would appear to have undertaken a program of regulatory reform, a patchwork of new state and local regulatory </w:t>
      </w:r>
      <w:r w:rsidR="00004979">
        <w:t xml:space="preserve">initiatives have emerged.  </w:t>
      </w:r>
    </w:p>
    <w:p w14:paraId="6038AE01" w14:textId="77777777" w:rsidR="00525FA3" w:rsidRDefault="00525FA3" w:rsidP="00525FA3">
      <w:pPr>
        <w:pStyle w:val="ListParagraph"/>
        <w:tabs>
          <w:tab w:val="left" w:pos="720"/>
          <w:tab w:val="left" w:pos="900"/>
        </w:tabs>
      </w:pPr>
    </w:p>
    <w:p w14:paraId="79785944" w14:textId="77777777" w:rsidR="004A1F8C" w:rsidRPr="004A1F8C" w:rsidRDefault="0071249B" w:rsidP="009C7B92">
      <w:pPr>
        <w:pStyle w:val="ListParagraph"/>
        <w:numPr>
          <w:ilvl w:val="0"/>
          <w:numId w:val="9"/>
        </w:numPr>
        <w:tabs>
          <w:tab w:val="left" w:pos="720"/>
          <w:tab w:val="left" w:pos="900"/>
        </w:tabs>
      </w:pPr>
      <w:r>
        <w:rPr>
          <w:b/>
        </w:rPr>
        <w:t>Industry Perspective.</w:t>
      </w:r>
      <w:r>
        <w:t xml:space="preserve">  While industry generally supports strong regulation, efficient transportation requires uniform </w:t>
      </w:r>
      <w:r w:rsidR="00004979">
        <w:t xml:space="preserve">preemptive </w:t>
      </w:r>
      <w:r>
        <w:t>national standards governing vessel operations.</w:t>
      </w:r>
      <w:r w:rsidR="004A1F8C">
        <w:t xml:space="preserve"> </w:t>
      </w:r>
    </w:p>
    <w:sectPr w:rsidR="004A1F8C" w:rsidRPr="004A1F8C" w:rsidSect="00C07273">
      <w:footerReference w:type="even" r:id="rId8"/>
      <w:footerReference w:type="default" r:id="rId9"/>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B12C8" w14:textId="77777777" w:rsidR="00CA13AA" w:rsidRDefault="00CA13AA">
      <w:r>
        <w:separator/>
      </w:r>
    </w:p>
  </w:endnote>
  <w:endnote w:type="continuationSeparator" w:id="0">
    <w:p w14:paraId="30483C63" w14:textId="77777777" w:rsidR="00CA13AA" w:rsidRDefault="00CA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F1AB1" w14:textId="77777777" w:rsidR="00C012F3" w:rsidRDefault="002B0366" w:rsidP="00BE016D">
    <w:pPr>
      <w:pStyle w:val="Footer"/>
      <w:framePr w:wrap="around" w:vAnchor="text" w:hAnchor="margin" w:xAlign="center" w:y="1"/>
      <w:rPr>
        <w:rStyle w:val="PageNumber"/>
      </w:rPr>
    </w:pPr>
    <w:r>
      <w:rPr>
        <w:rStyle w:val="PageNumber"/>
      </w:rPr>
      <w:fldChar w:fldCharType="begin"/>
    </w:r>
    <w:r w:rsidR="00C012F3">
      <w:rPr>
        <w:rStyle w:val="PageNumber"/>
      </w:rPr>
      <w:instrText xml:space="preserve">PAGE  </w:instrText>
    </w:r>
    <w:r>
      <w:rPr>
        <w:rStyle w:val="PageNumber"/>
      </w:rPr>
      <w:fldChar w:fldCharType="end"/>
    </w:r>
  </w:p>
  <w:p w14:paraId="527FA0E9" w14:textId="77777777" w:rsidR="00C012F3" w:rsidRDefault="00C012F3" w:rsidP="007005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5CF9" w14:textId="77777777" w:rsidR="00C07273" w:rsidRDefault="0052718E">
    <w:pPr>
      <w:pStyle w:val="Footer"/>
      <w:jc w:val="center"/>
    </w:pPr>
    <w:r>
      <w:fldChar w:fldCharType="begin"/>
    </w:r>
    <w:r>
      <w:instrText xml:space="preserve"> PAGE   \* MERGEFORMAT </w:instrText>
    </w:r>
    <w:r>
      <w:fldChar w:fldCharType="separate"/>
    </w:r>
    <w:r w:rsidR="006E60C8">
      <w:rPr>
        <w:noProof/>
      </w:rPr>
      <w:t>5</w:t>
    </w:r>
    <w:r>
      <w:rPr>
        <w:noProof/>
      </w:rPr>
      <w:fldChar w:fldCharType="end"/>
    </w:r>
  </w:p>
  <w:p w14:paraId="3BAAA116" w14:textId="77777777" w:rsidR="00C012F3" w:rsidRDefault="00C012F3" w:rsidP="007005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23F0" w14:textId="77777777" w:rsidR="00CA13AA" w:rsidRDefault="00CA13AA">
      <w:r>
        <w:separator/>
      </w:r>
    </w:p>
  </w:footnote>
  <w:footnote w:type="continuationSeparator" w:id="0">
    <w:p w14:paraId="1F22A057" w14:textId="77777777" w:rsidR="00CA13AA" w:rsidRDefault="00CA1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D46"/>
    <w:multiLevelType w:val="hybridMultilevel"/>
    <w:tmpl w:val="DCBC92A0"/>
    <w:lvl w:ilvl="0" w:tplc="3FE224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2037"/>
    <w:multiLevelType w:val="hybridMultilevel"/>
    <w:tmpl w:val="E984F404"/>
    <w:lvl w:ilvl="0" w:tplc="65B2D09E">
      <w:start w:val="3"/>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DAC0B79"/>
    <w:multiLevelType w:val="hybridMultilevel"/>
    <w:tmpl w:val="5EBCC714"/>
    <w:lvl w:ilvl="0" w:tplc="D994B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A006A"/>
    <w:multiLevelType w:val="multilevel"/>
    <w:tmpl w:val="2EE2EB10"/>
    <w:lvl w:ilvl="0">
      <w:start w:val="1"/>
      <w:numFmt w:val="upperRoman"/>
      <w:lvlText w:val="%1."/>
      <w:lvlJc w:val="right"/>
      <w:pPr>
        <w:tabs>
          <w:tab w:val="num" w:pos="180"/>
        </w:tabs>
        <w:ind w:left="180" w:hanging="18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5)"/>
      <w:lvlJc w:val="left"/>
      <w:pPr>
        <w:tabs>
          <w:tab w:val="num" w:pos="3240"/>
        </w:tabs>
        <w:ind w:left="2880" w:firstLine="0"/>
      </w:pPr>
      <w:rPr>
        <w:rFonts w:hint="default"/>
      </w:rPr>
    </w:lvl>
    <w:lvl w:ilvl="5">
      <w:start w:val="1"/>
      <w:numFmt w:val="none"/>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30F85CEB"/>
    <w:multiLevelType w:val="hybridMultilevel"/>
    <w:tmpl w:val="509CEF0E"/>
    <w:lvl w:ilvl="0" w:tplc="A31CF9B6">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32B57B17"/>
    <w:multiLevelType w:val="hybridMultilevel"/>
    <w:tmpl w:val="9D9CE15C"/>
    <w:lvl w:ilvl="0" w:tplc="9258A95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A73F6"/>
    <w:multiLevelType w:val="hybridMultilevel"/>
    <w:tmpl w:val="500A0640"/>
    <w:lvl w:ilvl="0" w:tplc="7E34F6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D5E2C"/>
    <w:multiLevelType w:val="hybridMultilevel"/>
    <w:tmpl w:val="5482707A"/>
    <w:lvl w:ilvl="0" w:tplc="8F66A9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F00FA"/>
    <w:multiLevelType w:val="hybridMultilevel"/>
    <w:tmpl w:val="500A0640"/>
    <w:lvl w:ilvl="0" w:tplc="7E34F6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0B42DC"/>
    <w:multiLevelType w:val="hybridMultilevel"/>
    <w:tmpl w:val="8FC88BF6"/>
    <w:lvl w:ilvl="0" w:tplc="8EFE34F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2328D"/>
    <w:multiLevelType w:val="hybridMultilevel"/>
    <w:tmpl w:val="F3547884"/>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54D94568"/>
    <w:multiLevelType w:val="hybridMultilevel"/>
    <w:tmpl w:val="4E080B70"/>
    <w:lvl w:ilvl="0" w:tplc="86481D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43717"/>
    <w:multiLevelType w:val="hybridMultilevel"/>
    <w:tmpl w:val="72D27EEC"/>
    <w:lvl w:ilvl="0" w:tplc="C9BAA02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831B9"/>
    <w:multiLevelType w:val="multilevel"/>
    <w:tmpl w:val="F522C4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76917599"/>
    <w:multiLevelType w:val="hybridMultilevel"/>
    <w:tmpl w:val="E422A70C"/>
    <w:lvl w:ilvl="0" w:tplc="0409000F">
      <w:start w:val="1"/>
      <w:numFmt w:val="decimal"/>
      <w:lvlText w:val="%1."/>
      <w:lvlJc w:val="left"/>
      <w:pPr>
        <w:tabs>
          <w:tab w:val="num" w:pos="1080"/>
        </w:tabs>
        <w:ind w:left="1080" w:hanging="360"/>
      </w:pPr>
      <w:rPr>
        <w:rFonts w:hint="default"/>
      </w:rPr>
    </w:lvl>
    <w:lvl w:ilvl="1" w:tplc="F1C6FD9A">
      <w:start w:val="1"/>
      <w:numFmt w:val="lowerLetter"/>
      <w:lvlText w:val="%2."/>
      <w:lvlJc w:val="left"/>
      <w:pPr>
        <w:tabs>
          <w:tab w:val="num" w:pos="1800"/>
        </w:tabs>
        <w:ind w:left="1800" w:hanging="360"/>
      </w:pPr>
      <w:rPr>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6BB381B"/>
    <w:multiLevelType w:val="hybridMultilevel"/>
    <w:tmpl w:val="44C6C2E6"/>
    <w:lvl w:ilvl="0" w:tplc="1838813C">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047D8"/>
    <w:multiLevelType w:val="hybridMultilevel"/>
    <w:tmpl w:val="005631C8"/>
    <w:lvl w:ilvl="0" w:tplc="A01CE508">
      <w:start w:val="1"/>
      <w:numFmt w:val="decimal"/>
      <w:lvlText w:val="%1."/>
      <w:lvlJc w:val="left"/>
      <w:pPr>
        <w:ind w:left="420" w:hanging="360"/>
      </w:pPr>
      <w:rPr>
        <w:rFonts w:hint="default"/>
        <w:b/>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D0C7C20"/>
    <w:multiLevelType w:val="hybridMultilevel"/>
    <w:tmpl w:val="276A8486"/>
    <w:lvl w:ilvl="0" w:tplc="A0D6B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173B6"/>
    <w:multiLevelType w:val="hybridMultilevel"/>
    <w:tmpl w:val="810C3E06"/>
    <w:lvl w:ilvl="0" w:tplc="F32450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4"/>
  </w:num>
  <w:num w:numId="5">
    <w:abstractNumId w:val="2"/>
  </w:num>
  <w:num w:numId="6">
    <w:abstractNumId w:val="17"/>
  </w:num>
  <w:num w:numId="7">
    <w:abstractNumId w:val="18"/>
  </w:num>
  <w:num w:numId="8">
    <w:abstractNumId w:val="7"/>
  </w:num>
  <w:num w:numId="9">
    <w:abstractNumId w:val="11"/>
  </w:num>
  <w:num w:numId="10">
    <w:abstractNumId w:val="13"/>
  </w:num>
  <w:num w:numId="11">
    <w:abstractNumId w:val="16"/>
  </w:num>
  <w:num w:numId="12">
    <w:abstractNumId w:val="1"/>
  </w:num>
  <w:num w:numId="13">
    <w:abstractNumId w:val="0"/>
  </w:num>
  <w:num w:numId="14">
    <w:abstractNumId w:val="15"/>
  </w:num>
  <w:num w:numId="15">
    <w:abstractNumId w:val="9"/>
  </w:num>
  <w:num w:numId="16">
    <w:abstractNumId w:val="12"/>
  </w:num>
  <w:num w:numId="17">
    <w:abstractNumId w:val="5"/>
  </w:num>
  <w:num w:numId="18">
    <w:abstractNumId w:val="8"/>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34"/>
    <w:rsid w:val="00004979"/>
    <w:rsid w:val="00017A71"/>
    <w:rsid w:val="00020FE7"/>
    <w:rsid w:val="00022F9C"/>
    <w:rsid w:val="0002348C"/>
    <w:rsid w:val="00025055"/>
    <w:rsid w:val="00030317"/>
    <w:rsid w:val="00035C9A"/>
    <w:rsid w:val="00037C78"/>
    <w:rsid w:val="00042F73"/>
    <w:rsid w:val="000444F2"/>
    <w:rsid w:val="00055FD6"/>
    <w:rsid w:val="0006600E"/>
    <w:rsid w:val="00071182"/>
    <w:rsid w:val="00077D57"/>
    <w:rsid w:val="0008522D"/>
    <w:rsid w:val="0008691A"/>
    <w:rsid w:val="00094293"/>
    <w:rsid w:val="000A5B43"/>
    <w:rsid w:val="000A68EA"/>
    <w:rsid w:val="000B0FDE"/>
    <w:rsid w:val="000B636E"/>
    <w:rsid w:val="000C36BF"/>
    <w:rsid w:val="000C46A8"/>
    <w:rsid w:val="000C51D8"/>
    <w:rsid w:val="000C5E62"/>
    <w:rsid w:val="000C7269"/>
    <w:rsid w:val="000E1351"/>
    <w:rsid w:val="000E1457"/>
    <w:rsid w:val="000E21AD"/>
    <w:rsid w:val="000F6A83"/>
    <w:rsid w:val="00113CB3"/>
    <w:rsid w:val="001207C3"/>
    <w:rsid w:val="001209AD"/>
    <w:rsid w:val="00120DFE"/>
    <w:rsid w:val="00126685"/>
    <w:rsid w:val="00127D80"/>
    <w:rsid w:val="00134AF5"/>
    <w:rsid w:val="00136C56"/>
    <w:rsid w:val="00147C95"/>
    <w:rsid w:val="0015008A"/>
    <w:rsid w:val="0016225E"/>
    <w:rsid w:val="001713D0"/>
    <w:rsid w:val="001928C8"/>
    <w:rsid w:val="00194055"/>
    <w:rsid w:val="001942DA"/>
    <w:rsid w:val="001A7733"/>
    <w:rsid w:val="001C70DC"/>
    <w:rsid w:val="001E7B3E"/>
    <w:rsid w:val="001F2B21"/>
    <w:rsid w:val="001F3900"/>
    <w:rsid w:val="001F760A"/>
    <w:rsid w:val="001F7AEC"/>
    <w:rsid w:val="001F7CB4"/>
    <w:rsid w:val="00201A01"/>
    <w:rsid w:val="00207A59"/>
    <w:rsid w:val="0021231E"/>
    <w:rsid w:val="00213FF5"/>
    <w:rsid w:val="00245A6C"/>
    <w:rsid w:val="00250A93"/>
    <w:rsid w:val="00252BBA"/>
    <w:rsid w:val="0025669D"/>
    <w:rsid w:val="00256ABB"/>
    <w:rsid w:val="00260636"/>
    <w:rsid w:val="002639F0"/>
    <w:rsid w:val="0026495A"/>
    <w:rsid w:val="0026500C"/>
    <w:rsid w:val="002729EF"/>
    <w:rsid w:val="0027337A"/>
    <w:rsid w:val="002772E4"/>
    <w:rsid w:val="00287E63"/>
    <w:rsid w:val="0029275D"/>
    <w:rsid w:val="00294236"/>
    <w:rsid w:val="002968FD"/>
    <w:rsid w:val="002A297C"/>
    <w:rsid w:val="002B0366"/>
    <w:rsid w:val="002B3635"/>
    <w:rsid w:val="002B4E4B"/>
    <w:rsid w:val="002C1A46"/>
    <w:rsid w:val="002D303B"/>
    <w:rsid w:val="002E112F"/>
    <w:rsid w:val="002E126A"/>
    <w:rsid w:val="002E12D3"/>
    <w:rsid w:val="002E3555"/>
    <w:rsid w:val="002E7FD5"/>
    <w:rsid w:val="0030240F"/>
    <w:rsid w:val="00311AF3"/>
    <w:rsid w:val="00312FEF"/>
    <w:rsid w:val="00324CF6"/>
    <w:rsid w:val="003254E9"/>
    <w:rsid w:val="00327A10"/>
    <w:rsid w:val="0033130E"/>
    <w:rsid w:val="00331D6A"/>
    <w:rsid w:val="00332F56"/>
    <w:rsid w:val="0034285E"/>
    <w:rsid w:val="00357F01"/>
    <w:rsid w:val="0036164E"/>
    <w:rsid w:val="003662FB"/>
    <w:rsid w:val="00373120"/>
    <w:rsid w:val="00374405"/>
    <w:rsid w:val="00383B52"/>
    <w:rsid w:val="00384356"/>
    <w:rsid w:val="003973F5"/>
    <w:rsid w:val="003A2BF5"/>
    <w:rsid w:val="003A4F2E"/>
    <w:rsid w:val="003B1E65"/>
    <w:rsid w:val="003B27F4"/>
    <w:rsid w:val="003B282F"/>
    <w:rsid w:val="003B51FD"/>
    <w:rsid w:val="003B7078"/>
    <w:rsid w:val="003C32C5"/>
    <w:rsid w:val="003C40F8"/>
    <w:rsid w:val="003D084E"/>
    <w:rsid w:val="003D5C12"/>
    <w:rsid w:val="003E5220"/>
    <w:rsid w:val="003E5DB3"/>
    <w:rsid w:val="003F1C4C"/>
    <w:rsid w:val="004032D1"/>
    <w:rsid w:val="004067E0"/>
    <w:rsid w:val="00406F44"/>
    <w:rsid w:val="00415ACB"/>
    <w:rsid w:val="0041699F"/>
    <w:rsid w:val="00417647"/>
    <w:rsid w:val="00427C10"/>
    <w:rsid w:val="00432087"/>
    <w:rsid w:val="00435451"/>
    <w:rsid w:val="0043641D"/>
    <w:rsid w:val="004413F1"/>
    <w:rsid w:val="0045101D"/>
    <w:rsid w:val="00456882"/>
    <w:rsid w:val="00456996"/>
    <w:rsid w:val="0046409C"/>
    <w:rsid w:val="00471085"/>
    <w:rsid w:val="00483F03"/>
    <w:rsid w:val="004849EE"/>
    <w:rsid w:val="0049276E"/>
    <w:rsid w:val="004A1F8C"/>
    <w:rsid w:val="004B440F"/>
    <w:rsid w:val="004C17AF"/>
    <w:rsid w:val="004D5F00"/>
    <w:rsid w:val="004E7759"/>
    <w:rsid w:val="004F5B9D"/>
    <w:rsid w:val="004F6F1C"/>
    <w:rsid w:val="00504B34"/>
    <w:rsid w:val="00505D2E"/>
    <w:rsid w:val="00513BB3"/>
    <w:rsid w:val="00517109"/>
    <w:rsid w:val="00520100"/>
    <w:rsid w:val="00520467"/>
    <w:rsid w:val="00525FA3"/>
    <w:rsid w:val="0052718E"/>
    <w:rsid w:val="00531B13"/>
    <w:rsid w:val="005322B5"/>
    <w:rsid w:val="005371E8"/>
    <w:rsid w:val="005421E8"/>
    <w:rsid w:val="00542362"/>
    <w:rsid w:val="0055606D"/>
    <w:rsid w:val="005634BB"/>
    <w:rsid w:val="0057381B"/>
    <w:rsid w:val="00574941"/>
    <w:rsid w:val="00576F58"/>
    <w:rsid w:val="00593F3A"/>
    <w:rsid w:val="00595DCA"/>
    <w:rsid w:val="005A28B9"/>
    <w:rsid w:val="005A2B22"/>
    <w:rsid w:val="005A373A"/>
    <w:rsid w:val="005A65DE"/>
    <w:rsid w:val="005A6C41"/>
    <w:rsid w:val="005A7DD3"/>
    <w:rsid w:val="005C63D8"/>
    <w:rsid w:val="005D4C98"/>
    <w:rsid w:val="005D5B70"/>
    <w:rsid w:val="005D7246"/>
    <w:rsid w:val="005E28A6"/>
    <w:rsid w:val="006008CA"/>
    <w:rsid w:val="00605057"/>
    <w:rsid w:val="0061124F"/>
    <w:rsid w:val="00611687"/>
    <w:rsid w:val="006201DA"/>
    <w:rsid w:val="00620275"/>
    <w:rsid w:val="00641EA0"/>
    <w:rsid w:val="0065352A"/>
    <w:rsid w:val="00653AFE"/>
    <w:rsid w:val="00664360"/>
    <w:rsid w:val="006646CF"/>
    <w:rsid w:val="00671EA3"/>
    <w:rsid w:val="00672A33"/>
    <w:rsid w:val="00673B4D"/>
    <w:rsid w:val="0067582D"/>
    <w:rsid w:val="00677170"/>
    <w:rsid w:val="00683DF8"/>
    <w:rsid w:val="0068675F"/>
    <w:rsid w:val="006952A8"/>
    <w:rsid w:val="00695AEB"/>
    <w:rsid w:val="006B0D27"/>
    <w:rsid w:val="006B0F13"/>
    <w:rsid w:val="006B55AE"/>
    <w:rsid w:val="006B5E1E"/>
    <w:rsid w:val="006B6BAE"/>
    <w:rsid w:val="006B7378"/>
    <w:rsid w:val="006C48AA"/>
    <w:rsid w:val="006E25F3"/>
    <w:rsid w:val="006E60C8"/>
    <w:rsid w:val="006F1EC8"/>
    <w:rsid w:val="006F6EDA"/>
    <w:rsid w:val="0070059B"/>
    <w:rsid w:val="00700F9E"/>
    <w:rsid w:val="007010A3"/>
    <w:rsid w:val="00701BF1"/>
    <w:rsid w:val="00704FF3"/>
    <w:rsid w:val="0071249B"/>
    <w:rsid w:val="00715C8D"/>
    <w:rsid w:val="00721483"/>
    <w:rsid w:val="00724736"/>
    <w:rsid w:val="00730C4D"/>
    <w:rsid w:val="0073325C"/>
    <w:rsid w:val="007343EF"/>
    <w:rsid w:val="00743450"/>
    <w:rsid w:val="00745D50"/>
    <w:rsid w:val="00746450"/>
    <w:rsid w:val="00747559"/>
    <w:rsid w:val="007577B5"/>
    <w:rsid w:val="0076065D"/>
    <w:rsid w:val="0076193F"/>
    <w:rsid w:val="007654D2"/>
    <w:rsid w:val="0076562E"/>
    <w:rsid w:val="00773DB5"/>
    <w:rsid w:val="00785ECB"/>
    <w:rsid w:val="007868CF"/>
    <w:rsid w:val="007906C9"/>
    <w:rsid w:val="007973AA"/>
    <w:rsid w:val="00797745"/>
    <w:rsid w:val="007A3624"/>
    <w:rsid w:val="007B147D"/>
    <w:rsid w:val="007B2772"/>
    <w:rsid w:val="007C275C"/>
    <w:rsid w:val="007C4185"/>
    <w:rsid w:val="007D5366"/>
    <w:rsid w:val="007E7AF0"/>
    <w:rsid w:val="007E7C83"/>
    <w:rsid w:val="007F1132"/>
    <w:rsid w:val="007F196B"/>
    <w:rsid w:val="00804091"/>
    <w:rsid w:val="00807739"/>
    <w:rsid w:val="00832D4C"/>
    <w:rsid w:val="008335B2"/>
    <w:rsid w:val="00847545"/>
    <w:rsid w:val="00856B19"/>
    <w:rsid w:val="00862F3D"/>
    <w:rsid w:val="00863F85"/>
    <w:rsid w:val="0087277F"/>
    <w:rsid w:val="00872E4D"/>
    <w:rsid w:val="00873CFC"/>
    <w:rsid w:val="008814A0"/>
    <w:rsid w:val="00885E56"/>
    <w:rsid w:val="008925FB"/>
    <w:rsid w:val="008928AE"/>
    <w:rsid w:val="00893F33"/>
    <w:rsid w:val="008B185E"/>
    <w:rsid w:val="008B3286"/>
    <w:rsid w:val="008B6959"/>
    <w:rsid w:val="008C1E7A"/>
    <w:rsid w:val="008C2720"/>
    <w:rsid w:val="008C3EA5"/>
    <w:rsid w:val="008C5FEE"/>
    <w:rsid w:val="008D02C3"/>
    <w:rsid w:val="008D0618"/>
    <w:rsid w:val="008D1E2B"/>
    <w:rsid w:val="008D3531"/>
    <w:rsid w:val="008E1F46"/>
    <w:rsid w:val="008E75C6"/>
    <w:rsid w:val="008F22EF"/>
    <w:rsid w:val="0090001A"/>
    <w:rsid w:val="009045FC"/>
    <w:rsid w:val="00905109"/>
    <w:rsid w:val="0091162F"/>
    <w:rsid w:val="00911DA3"/>
    <w:rsid w:val="00932D77"/>
    <w:rsid w:val="00944329"/>
    <w:rsid w:val="00944334"/>
    <w:rsid w:val="00951DC4"/>
    <w:rsid w:val="00956054"/>
    <w:rsid w:val="0095713C"/>
    <w:rsid w:val="00975F33"/>
    <w:rsid w:val="00976A6C"/>
    <w:rsid w:val="00990E5F"/>
    <w:rsid w:val="00995CA7"/>
    <w:rsid w:val="009B4DA7"/>
    <w:rsid w:val="009C1B84"/>
    <w:rsid w:val="009C7B92"/>
    <w:rsid w:val="009D1B1A"/>
    <w:rsid w:val="009E0B34"/>
    <w:rsid w:val="009E1AC6"/>
    <w:rsid w:val="009F3E4A"/>
    <w:rsid w:val="00A01C19"/>
    <w:rsid w:val="00A27ADF"/>
    <w:rsid w:val="00A32691"/>
    <w:rsid w:val="00A327BD"/>
    <w:rsid w:val="00A551A3"/>
    <w:rsid w:val="00A637DD"/>
    <w:rsid w:val="00A73E1A"/>
    <w:rsid w:val="00A77E85"/>
    <w:rsid w:val="00A82F2C"/>
    <w:rsid w:val="00A9562A"/>
    <w:rsid w:val="00AA35D0"/>
    <w:rsid w:val="00AA7EFB"/>
    <w:rsid w:val="00AB0E34"/>
    <w:rsid w:val="00AB401C"/>
    <w:rsid w:val="00AC45FD"/>
    <w:rsid w:val="00AC6ECB"/>
    <w:rsid w:val="00AD090D"/>
    <w:rsid w:val="00AD7E0C"/>
    <w:rsid w:val="00AE549D"/>
    <w:rsid w:val="00AF4DD2"/>
    <w:rsid w:val="00AF52F6"/>
    <w:rsid w:val="00B02694"/>
    <w:rsid w:val="00B0429B"/>
    <w:rsid w:val="00B17CE6"/>
    <w:rsid w:val="00B267E4"/>
    <w:rsid w:val="00B315F7"/>
    <w:rsid w:val="00B4586A"/>
    <w:rsid w:val="00B6001A"/>
    <w:rsid w:val="00B63D85"/>
    <w:rsid w:val="00B73D97"/>
    <w:rsid w:val="00B8041B"/>
    <w:rsid w:val="00B81E33"/>
    <w:rsid w:val="00B82044"/>
    <w:rsid w:val="00B83DB5"/>
    <w:rsid w:val="00B91AB5"/>
    <w:rsid w:val="00B92DAD"/>
    <w:rsid w:val="00B936C8"/>
    <w:rsid w:val="00B95379"/>
    <w:rsid w:val="00B96A6D"/>
    <w:rsid w:val="00BA236F"/>
    <w:rsid w:val="00BB17D4"/>
    <w:rsid w:val="00BB2918"/>
    <w:rsid w:val="00BB4081"/>
    <w:rsid w:val="00BB40D6"/>
    <w:rsid w:val="00BB7191"/>
    <w:rsid w:val="00BE016D"/>
    <w:rsid w:val="00BE231F"/>
    <w:rsid w:val="00BE5403"/>
    <w:rsid w:val="00C012F3"/>
    <w:rsid w:val="00C07273"/>
    <w:rsid w:val="00C07637"/>
    <w:rsid w:val="00C17D2E"/>
    <w:rsid w:val="00C26FEF"/>
    <w:rsid w:val="00C4458B"/>
    <w:rsid w:val="00C46ABD"/>
    <w:rsid w:val="00C47D7D"/>
    <w:rsid w:val="00C7593B"/>
    <w:rsid w:val="00C923E6"/>
    <w:rsid w:val="00C9308A"/>
    <w:rsid w:val="00C97909"/>
    <w:rsid w:val="00CA13AA"/>
    <w:rsid w:val="00CB3871"/>
    <w:rsid w:val="00CB77D9"/>
    <w:rsid w:val="00CC41E6"/>
    <w:rsid w:val="00CC42B3"/>
    <w:rsid w:val="00CC59F7"/>
    <w:rsid w:val="00CE1C85"/>
    <w:rsid w:val="00CE6634"/>
    <w:rsid w:val="00CF278C"/>
    <w:rsid w:val="00D01C6F"/>
    <w:rsid w:val="00D03DB5"/>
    <w:rsid w:val="00D046CD"/>
    <w:rsid w:val="00D11597"/>
    <w:rsid w:val="00D1288D"/>
    <w:rsid w:val="00D129EF"/>
    <w:rsid w:val="00D2409D"/>
    <w:rsid w:val="00D249B6"/>
    <w:rsid w:val="00D26470"/>
    <w:rsid w:val="00D32DD7"/>
    <w:rsid w:val="00D36C28"/>
    <w:rsid w:val="00D40626"/>
    <w:rsid w:val="00D52EDF"/>
    <w:rsid w:val="00D54A95"/>
    <w:rsid w:val="00D55FC0"/>
    <w:rsid w:val="00D60322"/>
    <w:rsid w:val="00D642D0"/>
    <w:rsid w:val="00D64A94"/>
    <w:rsid w:val="00D70425"/>
    <w:rsid w:val="00D72789"/>
    <w:rsid w:val="00D73621"/>
    <w:rsid w:val="00D85376"/>
    <w:rsid w:val="00DA2834"/>
    <w:rsid w:val="00DA3C19"/>
    <w:rsid w:val="00DA429F"/>
    <w:rsid w:val="00DB5B58"/>
    <w:rsid w:val="00DC1832"/>
    <w:rsid w:val="00DC2DC0"/>
    <w:rsid w:val="00DC5736"/>
    <w:rsid w:val="00DC6FD3"/>
    <w:rsid w:val="00DD0092"/>
    <w:rsid w:val="00DD58D8"/>
    <w:rsid w:val="00DE1760"/>
    <w:rsid w:val="00DE31A0"/>
    <w:rsid w:val="00DE5968"/>
    <w:rsid w:val="00DE5AB9"/>
    <w:rsid w:val="00E00FC1"/>
    <w:rsid w:val="00E103C9"/>
    <w:rsid w:val="00E1149F"/>
    <w:rsid w:val="00E14D13"/>
    <w:rsid w:val="00E165F9"/>
    <w:rsid w:val="00E16F2C"/>
    <w:rsid w:val="00E176D6"/>
    <w:rsid w:val="00E2737C"/>
    <w:rsid w:val="00E34E01"/>
    <w:rsid w:val="00E4082F"/>
    <w:rsid w:val="00E518C9"/>
    <w:rsid w:val="00E55123"/>
    <w:rsid w:val="00E60762"/>
    <w:rsid w:val="00E66ADE"/>
    <w:rsid w:val="00E6788A"/>
    <w:rsid w:val="00E709E2"/>
    <w:rsid w:val="00E876B0"/>
    <w:rsid w:val="00E96759"/>
    <w:rsid w:val="00EA4DA5"/>
    <w:rsid w:val="00EB0EF5"/>
    <w:rsid w:val="00EC173F"/>
    <w:rsid w:val="00ED2422"/>
    <w:rsid w:val="00EE384D"/>
    <w:rsid w:val="00EE44E2"/>
    <w:rsid w:val="00EF19EC"/>
    <w:rsid w:val="00EF68D5"/>
    <w:rsid w:val="00F002B8"/>
    <w:rsid w:val="00F0032E"/>
    <w:rsid w:val="00F078A8"/>
    <w:rsid w:val="00F079A1"/>
    <w:rsid w:val="00F102AF"/>
    <w:rsid w:val="00F12FCE"/>
    <w:rsid w:val="00F1732A"/>
    <w:rsid w:val="00F24081"/>
    <w:rsid w:val="00F52DFA"/>
    <w:rsid w:val="00F537A1"/>
    <w:rsid w:val="00F615DE"/>
    <w:rsid w:val="00F7074B"/>
    <w:rsid w:val="00F95D74"/>
    <w:rsid w:val="00FA34DD"/>
    <w:rsid w:val="00FA635D"/>
    <w:rsid w:val="00FB37A2"/>
    <w:rsid w:val="00FD0EFD"/>
    <w:rsid w:val="00FD4677"/>
    <w:rsid w:val="00FE085A"/>
    <w:rsid w:val="00FE1140"/>
    <w:rsid w:val="00FE3B1E"/>
    <w:rsid w:val="00FE3E55"/>
    <w:rsid w:val="00FE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70C15"/>
  <w15:docId w15:val="{AEB3BD16-E9A8-44E7-BB84-3FD0D280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085"/>
    <w:rPr>
      <w:sz w:val="24"/>
      <w:szCs w:val="24"/>
    </w:rPr>
  </w:style>
  <w:style w:type="paragraph" w:styleId="Heading1">
    <w:name w:val="heading 1"/>
    <w:basedOn w:val="Normal"/>
    <w:next w:val="Normal"/>
    <w:qFormat/>
    <w:rsid w:val="007464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4645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4645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46450"/>
    <w:pPr>
      <w:keepNext/>
      <w:numPr>
        <w:ilvl w:val="3"/>
        <w:numId w:val="1"/>
      </w:numPr>
      <w:spacing w:before="240" w:after="60"/>
      <w:outlineLvl w:val="3"/>
    </w:pPr>
    <w:rPr>
      <w:b/>
      <w:bCs/>
      <w:sz w:val="28"/>
      <w:szCs w:val="28"/>
    </w:rPr>
  </w:style>
  <w:style w:type="paragraph" w:styleId="Heading5">
    <w:name w:val="heading 5"/>
    <w:basedOn w:val="Normal"/>
    <w:next w:val="Normal"/>
    <w:qFormat/>
    <w:rsid w:val="00746450"/>
    <w:pPr>
      <w:numPr>
        <w:ilvl w:val="4"/>
        <w:numId w:val="1"/>
      </w:numPr>
      <w:spacing w:before="240" w:after="60"/>
      <w:outlineLvl w:val="4"/>
    </w:pPr>
    <w:rPr>
      <w:b/>
      <w:bCs/>
      <w:i/>
      <w:iCs/>
      <w:sz w:val="26"/>
      <w:szCs w:val="26"/>
    </w:rPr>
  </w:style>
  <w:style w:type="paragraph" w:styleId="Heading6">
    <w:name w:val="heading 6"/>
    <w:basedOn w:val="Normal"/>
    <w:next w:val="Normal"/>
    <w:qFormat/>
    <w:rsid w:val="00746450"/>
    <w:pPr>
      <w:numPr>
        <w:ilvl w:val="5"/>
        <w:numId w:val="1"/>
      </w:numPr>
      <w:spacing w:before="240" w:after="60"/>
      <w:outlineLvl w:val="5"/>
    </w:pPr>
    <w:rPr>
      <w:b/>
      <w:bCs/>
      <w:sz w:val="22"/>
      <w:szCs w:val="22"/>
    </w:rPr>
  </w:style>
  <w:style w:type="paragraph" w:styleId="Heading7">
    <w:name w:val="heading 7"/>
    <w:basedOn w:val="Normal"/>
    <w:next w:val="Normal"/>
    <w:qFormat/>
    <w:rsid w:val="00746450"/>
    <w:pPr>
      <w:numPr>
        <w:ilvl w:val="6"/>
        <w:numId w:val="1"/>
      </w:numPr>
      <w:spacing w:before="240" w:after="60"/>
      <w:outlineLvl w:val="6"/>
    </w:pPr>
  </w:style>
  <w:style w:type="paragraph" w:styleId="Heading8">
    <w:name w:val="heading 8"/>
    <w:basedOn w:val="Normal"/>
    <w:next w:val="Normal"/>
    <w:qFormat/>
    <w:rsid w:val="00746450"/>
    <w:pPr>
      <w:numPr>
        <w:ilvl w:val="7"/>
        <w:numId w:val="1"/>
      </w:numPr>
      <w:spacing w:before="240" w:after="60"/>
      <w:outlineLvl w:val="7"/>
    </w:pPr>
    <w:rPr>
      <w:i/>
      <w:iCs/>
    </w:rPr>
  </w:style>
  <w:style w:type="paragraph" w:styleId="Heading9">
    <w:name w:val="heading 9"/>
    <w:basedOn w:val="Normal"/>
    <w:next w:val="Normal"/>
    <w:qFormat/>
    <w:rsid w:val="0074645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059B"/>
    <w:pPr>
      <w:tabs>
        <w:tab w:val="center" w:pos="4320"/>
        <w:tab w:val="right" w:pos="8640"/>
      </w:tabs>
    </w:pPr>
  </w:style>
  <w:style w:type="character" w:styleId="PageNumber">
    <w:name w:val="page number"/>
    <w:basedOn w:val="DefaultParagraphFont"/>
    <w:rsid w:val="0070059B"/>
  </w:style>
  <w:style w:type="paragraph" w:styleId="BalloonText">
    <w:name w:val="Balloon Text"/>
    <w:basedOn w:val="Normal"/>
    <w:semiHidden/>
    <w:rsid w:val="00BB40D6"/>
    <w:rPr>
      <w:rFonts w:ascii="Tahoma" w:hAnsi="Tahoma" w:cs="Tahoma"/>
      <w:sz w:val="16"/>
      <w:szCs w:val="16"/>
    </w:rPr>
  </w:style>
  <w:style w:type="character" w:styleId="Hyperlink">
    <w:name w:val="Hyperlink"/>
    <w:basedOn w:val="DefaultParagraphFont"/>
    <w:rsid w:val="00A9562A"/>
    <w:rPr>
      <w:color w:val="0000FF"/>
      <w:u w:val="single"/>
    </w:rPr>
  </w:style>
  <w:style w:type="paragraph" w:styleId="Header">
    <w:name w:val="header"/>
    <w:basedOn w:val="Normal"/>
    <w:link w:val="HeaderChar"/>
    <w:rsid w:val="00C07273"/>
    <w:pPr>
      <w:tabs>
        <w:tab w:val="center" w:pos="4680"/>
        <w:tab w:val="right" w:pos="9360"/>
      </w:tabs>
    </w:pPr>
  </w:style>
  <w:style w:type="character" w:customStyle="1" w:styleId="HeaderChar">
    <w:name w:val="Header Char"/>
    <w:basedOn w:val="DefaultParagraphFont"/>
    <w:link w:val="Header"/>
    <w:rsid w:val="00C07273"/>
    <w:rPr>
      <w:sz w:val="24"/>
      <w:szCs w:val="24"/>
    </w:rPr>
  </w:style>
  <w:style w:type="character" w:customStyle="1" w:styleId="FooterChar">
    <w:name w:val="Footer Char"/>
    <w:basedOn w:val="DefaultParagraphFont"/>
    <w:link w:val="Footer"/>
    <w:uiPriority w:val="99"/>
    <w:rsid w:val="00C07273"/>
    <w:rPr>
      <w:sz w:val="24"/>
      <w:szCs w:val="24"/>
    </w:rPr>
  </w:style>
  <w:style w:type="paragraph" w:styleId="ListParagraph">
    <w:name w:val="List Paragraph"/>
    <w:basedOn w:val="Normal"/>
    <w:uiPriority w:val="34"/>
    <w:qFormat/>
    <w:rsid w:val="00D046CD"/>
    <w:pPr>
      <w:ind w:left="720"/>
    </w:pPr>
  </w:style>
  <w:style w:type="character" w:styleId="Mention">
    <w:name w:val="Mention"/>
    <w:basedOn w:val="DefaultParagraphFont"/>
    <w:uiPriority w:val="99"/>
    <w:semiHidden/>
    <w:unhideWhenUsed/>
    <w:rsid w:val="00D70425"/>
    <w:rPr>
      <w:color w:val="2B579A"/>
      <w:shd w:val="clear" w:color="auto" w:fill="E6E6E6"/>
    </w:rPr>
  </w:style>
  <w:style w:type="character" w:styleId="UnresolvedMention">
    <w:name w:val="Unresolved Mention"/>
    <w:basedOn w:val="DefaultParagraphFont"/>
    <w:uiPriority w:val="99"/>
    <w:semiHidden/>
    <w:unhideWhenUsed/>
    <w:rsid w:val="00D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4C6E-E5D4-4863-8F79-F2A5279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Recent Maritime Issues</vt:lpstr>
    </vt:vector>
  </TitlesOfParts>
  <Company/>
  <LinksUpToDate>false</LinksUpToDate>
  <CharactersWithSpaces>10942</CharactersWithSpaces>
  <SharedDoc>false</SharedDoc>
  <HLinks>
    <vt:vector size="12" baseType="variant">
      <vt:variant>
        <vt:i4>5439558</vt:i4>
      </vt:variant>
      <vt:variant>
        <vt:i4>3</vt:i4>
      </vt:variant>
      <vt:variant>
        <vt:i4>0</vt:i4>
      </vt:variant>
      <vt:variant>
        <vt:i4>5</vt:i4>
      </vt:variant>
      <vt:variant>
        <vt:lpwstr>http://www.greatlakeslaw.org/files/dist_ct_pi_opinion_order.pdf</vt:lpwstr>
      </vt:variant>
      <vt:variant>
        <vt:lpwstr/>
      </vt:variant>
      <vt:variant>
        <vt:i4>524405</vt:i4>
      </vt:variant>
      <vt:variant>
        <vt:i4>0</vt:i4>
      </vt:variant>
      <vt:variant>
        <vt:i4>0</vt:i4>
      </vt:variant>
      <vt:variant>
        <vt:i4>5</vt:i4>
      </vt:variant>
      <vt:variant>
        <vt:lpwstr>http://cfpub.epa.gov/npdes/home.cfm?program_id=350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Maritime Issues</dc:title>
  <dc:creator>cecile goldsteim</dc:creator>
  <cp:lastModifiedBy>Buckley McAllister</cp:lastModifiedBy>
  <cp:revision>3</cp:revision>
  <cp:lastPrinted>2017-05-03T13:49:00Z</cp:lastPrinted>
  <dcterms:created xsi:type="dcterms:W3CDTF">2020-11-02T14:20:00Z</dcterms:created>
  <dcterms:modified xsi:type="dcterms:W3CDTF">2020-11-02T15:15:00Z</dcterms:modified>
</cp:coreProperties>
</file>