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49FDB" w14:textId="4F982CA2" w:rsidR="000D0CB8" w:rsidRDefault="004D7512" w:rsidP="000D0CB8">
      <w:pPr>
        <w:ind w:hanging="360"/>
        <w:rPr>
          <w:b/>
          <w:bCs/>
          <w:u w:val="single"/>
          <w:lang w:val="en-CA"/>
        </w:rPr>
      </w:pPr>
      <w:r w:rsidRPr="005B3FD4">
        <w:rPr>
          <w:b/>
          <w:bCs/>
          <w:u w:val="single"/>
          <w:lang w:val="en-CA"/>
        </w:rPr>
        <w:t>CITATIONS</w:t>
      </w:r>
      <w:r w:rsidR="00891A9D">
        <w:rPr>
          <w:b/>
          <w:bCs/>
          <w:u w:val="single"/>
          <w:lang w:val="en-CA"/>
        </w:rPr>
        <w:t xml:space="preserve"> FROM</w:t>
      </w:r>
      <w:r w:rsidR="000D0CB8">
        <w:rPr>
          <w:b/>
          <w:bCs/>
          <w:u w:val="single"/>
          <w:lang w:val="en-CA"/>
        </w:rPr>
        <w:t>:</w:t>
      </w:r>
      <w:r w:rsidR="00891A9D">
        <w:rPr>
          <w:b/>
          <w:bCs/>
          <w:u w:val="single"/>
          <w:lang w:val="en-CA"/>
        </w:rPr>
        <w:t xml:space="preserve"> </w:t>
      </w:r>
    </w:p>
    <w:p w14:paraId="51C98BED" w14:textId="28DB5BA0" w:rsidR="000D0CB8" w:rsidRPr="000D0CB8" w:rsidRDefault="000D0CB8" w:rsidP="000D0CB8">
      <w:pPr>
        <w:ind w:hanging="360"/>
        <w:rPr>
          <w:b/>
          <w:bCs/>
        </w:rPr>
      </w:pPr>
      <w:r w:rsidRPr="007D4CB8">
        <w:rPr>
          <w:b/>
          <w:bCs/>
        </w:rPr>
        <w:t>States and USCG Partnerships in the Investigation of Casualties</w:t>
      </w:r>
      <w:r>
        <w:rPr>
          <w:b/>
          <w:bCs/>
        </w:rPr>
        <w:t>:</w:t>
      </w:r>
      <w:r w:rsidRPr="007D4CB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0D0CB8">
        <w:rPr>
          <w:b/>
          <w:bCs/>
        </w:rPr>
        <w:t>Theory v. Practice via Hypothetical</w:t>
      </w:r>
      <w:r>
        <w:t>-</w:t>
      </w:r>
      <w:r w:rsidRPr="7C49A625">
        <w:t xml:space="preserve"> Commander Nicholas </w:t>
      </w:r>
      <w:proofErr w:type="spellStart"/>
      <w:r w:rsidRPr="7C49A625">
        <w:t>Tabori</w:t>
      </w:r>
      <w:proofErr w:type="spellEnd"/>
      <w:r w:rsidRPr="7C49A625">
        <w:t>, Office of Maritime &amp; International Law</w:t>
      </w:r>
    </w:p>
    <w:p w14:paraId="608D7EF2" w14:textId="30B7FC93" w:rsidR="000D0CB8" w:rsidRPr="00E337DE" w:rsidRDefault="000D0CB8" w:rsidP="000D0CB8">
      <w:pPr>
        <w:ind w:hanging="360"/>
      </w:pPr>
      <w:r>
        <w:t xml:space="preserve">  </w:t>
      </w:r>
      <w:r w:rsidRPr="000D0CB8">
        <w:rPr>
          <w:b/>
          <w:bCs/>
        </w:rPr>
        <w:t>Summary of Boating Statistics in 2020</w:t>
      </w:r>
      <w:r>
        <w:t xml:space="preserve"> </w:t>
      </w:r>
      <w:r>
        <w:rPr>
          <w:b/>
          <w:bCs/>
        </w:rPr>
        <w:t xml:space="preserve">- </w:t>
      </w:r>
      <w:r w:rsidRPr="00306D28">
        <w:t>LT Charles Richardson</w:t>
      </w:r>
      <w:r>
        <w:t xml:space="preserve">, </w:t>
      </w:r>
      <w:r w:rsidRPr="00306D28">
        <w:t xml:space="preserve">Office of Maritime &amp; International Law </w:t>
      </w:r>
      <w:r>
        <w:t xml:space="preserve"> </w:t>
      </w:r>
    </w:p>
    <w:p w14:paraId="3E0B37F7" w14:textId="2F4BF1D7" w:rsidR="00743BA1" w:rsidRDefault="00743BA1" w:rsidP="005B3FD4">
      <w:pPr>
        <w:spacing w:after="0" w:line="240" w:lineRule="auto"/>
        <w:jc w:val="center"/>
        <w:rPr>
          <w:b/>
          <w:bCs/>
          <w:u w:val="single"/>
          <w:lang w:val="en-CA"/>
        </w:rPr>
      </w:pPr>
    </w:p>
    <w:p w14:paraId="4F6EC1E7" w14:textId="77777777" w:rsidR="005B3FD4" w:rsidRDefault="005B3FD4" w:rsidP="005B3FD4">
      <w:pPr>
        <w:spacing w:after="0" w:line="240" w:lineRule="auto"/>
        <w:jc w:val="center"/>
        <w:rPr>
          <w:b/>
          <w:bCs/>
          <w:u w:val="single"/>
          <w:lang w:val="en-CA"/>
        </w:rPr>
      </w:pPr>
    </w:p>
    <w:p w14:paraId="6711A1DE" w14:textId="77777777" w:rsidR="005B3FD4" w:rsidRDefault="005B3FD4" w:rsidP="005B3FD4">
      <w:pPr>
        <w:spacing w:after="0" w:line="240" w:lineRule="auto"/>
        <w:jc w:val="both"/>
        <w:rPr>
          <w:b/>
          <w:bCs/>
          <w:u w:val="single"/>
          <w:lang w:val="en-CA"/>
        </w:rPr>
      </w:pPr>
    </w:p>
    <w:p w14:paraId="5F4564BA" w14:textId="77777777" w:rsidR="000D0CB8" w:rsidRDefault="005B3FD4" w:rsidP="000D0CB8">
      <w:pPr>
        <w:numPr>
          <w:ilvl w:val="0"/>
          <w:numId w:val="2"/>
        </w:numPr>
        <w:spacing w:after="0" w:line="240" w:lineRule="auto"/>
        <w:jc w:val="both"/>
      </w:pPr>
      <w:r w:rsidRPr="000D0CB8">
        <w:rPr>
          <w:b/>
          <w:bCs/>
        </w:rPr>
        <w:t>46 USC 13102</w:t>
      </w:r>
      <w:r w:rsidRPr="005B3FD4">
        <w:t xml:space="preserve"> (State Recreational Boating Safety Program) provides the State recreational boating safety (RBS) program requirement</w:t>
      </w:r>
    </w:p>
    <w:p w14:paraId="0DA4E13D" w14:textId="4F468411" w:rsidR="005B3FD4" w:rsidRPr="005B3FD4" w:rsidRDefault="005B3FD4" w:rsidP="000D0CB8">
      <w:pPr>
        <w:numPr>
          <w:ilvl w:val="0"/>
          <w:numId w:val="2"/>
        </w:numPr>
        <w:spacing w:after="0" w:line="240" w:lineRule="auto"/>
        <w:jc w:val="both"/>
      </w:pPr>
      <w:r w:rsidRPr="000D0CB8">
        <w:rPr>
          <w:b/>
          <w:bCs/>
        </w:rPr>
        <w:t>46 USC 6102</w:t>
      </w:r>
      <w:r w:rsidRPr="005B3FD4">
        <w:t xml:space="preserve"> (State Marine Casualty Reporting System)</w:t>
      </w:r>
    </w:p>
    <w:p w14:paraId="09618A39" w14:textId="77777777" w:rsidR="005B3FD4" w:rsidRPr="005B3FD4" w:rsidRDefault="005B3FD4" w:rsidP="005B3FD4">
      <w:pPr>
        <w:numPr>
          <w:ilvl w:val="1"/>
          <w:numId w:val="3"/>
        </w:numPr>
        <w:spacing w:after="0" w:line="240" w:lineRule="auto"/>
        <w:jc w:val="both"/>
      </w:pPr>
      <w:r w:rsidRPr="005B3FD4">
        <w:t xml:space="preserve">Requires the Coast Guard to issue regulations, “…for a uniform State marine casualty reporting system for vessels. Regulations shall prescribe the casualties to be reported and the manner of reporting.” </w:t>
      </w:r>
    </w:p>
    <w:p w14:paraId="7E0074DC" w14:textId="77777777" w:rsidR="005B3FD4" w:rsidRDefault="005B3FD4" w:rsidP="005B3FD4">
      <w:pPr>
        <w:spacing w:after="0" w:line="240" w:lineRule="auto"/>
        <w:jc w:val="both"/>
        <w:rPr>
          <w:lang w:val="en-CA"/>
        </w:rPr>
      </w:pPr>
    </w:p>
    <w:p w14:paraId="7290190D" w14:textId="77777777" w:rsidR="005B3FD4" w:rsidRPr="005B3FD4" w:rsidRDefault="005B3FD4" w:rsidP="005B3FD4">
      <w:pPr>
        <w:numPr>
          <w:ilvl w:val="0"/>
          <w:numId w:val="4"/>
        </w:numPr>
        <w:spacing w:after="0" w:line="240" w:lineRule="auto"/>
        <w:jc w:val="both"/>
      </w:pPr>
      <w:r w:rsidRPr="000D0CB8">
        <w:rPr>
          <w:b/>
          <w:bCs/>
        </w:rPr>
        <w:t>33 CFR part 173 &amp; 174 Subpart C</w:t>
      </w:r>
      <w:r w:rsidRPr="005B3FD4">
        <w:t xml:space="preserve"> (Casualty and Accident Reporting)</w:t>
      </w:r>
    </w:p>
    <w:p w14:paraId="2CA26D55" w14:textId="77777777" w:rsidR="000D0CB8" w:rsidRDefault="005B3FD4" w:rsidP="005B3FD4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720" w:hanging="720"/>
        <w:jc w:val="both"/>
      </w:pPr>
      <w:r w:rsidRPr="000D0CB8">
        <w:rPr>
          <w:b/>
          <w:bCs/>
        </w:rPr>
        <w:t>46 USC 13102</w:t>
      </w:r>
      <w:r w:rsidRPr="005B3FD4">
        <w:t xml:space="preserve"> requires the Coast Guard to enter into a contract with the State to </w:t>
      </w:r>
      <w:proofErr w:type="spellStart"/>
      <w:r w:rsidRPr="005B3FD4">
        <w:t>carryout</w:t>
      </w:r>
      <w:proofErr w:type="spellEnd"/>
      <w:r w:rsidRPr="005B3FD4">
        <w:t xml:space="preserve"> the RBS program.  </w:t>
      </w:r>
    </w:p>
    <w:p w14:paraId="61953731" w14:textId="77777777" w:rsidR="000D0CB8" w:rsidRPr="000D0CB8" w:rsidRDefault="005B3FD4" w:rsidP="000D0CB8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720" w:hanging="720"/>
        <w:jc w:val="both"/>
        <w:rPr>
          <w:b/>
          <w:bCs/>
        </w:rPr>
      </w:pPr>
      <w:r w:rsidRPr="000D0CB8">
        <w:rPr>
          <w:b/>
          <w:bCs/>
        </w:rPr>
        <w:t>COMDTINST 16750.8B</w:t>
      </w:r>
      <w:r w:rsidRPr="005B3FD4">
        <w:t xml:space="preserve"> spells out the specific RBS requirements for each MOA.</w:t>
      </w:r>
    </w:p>
    <w:p w14:paraId="784BF845" w14:textId="77777777" w:rsidR="000D0CB8" w:rsidRDefault="005B3FD4" w:rsidP="005B3FD4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720" w:hanging="720"/>
        <w:jc w:val="both"/>
        <w:rPr>
          <w:b/>
          <w:bCs/>
        </w:rPr>
      </w:pPr>
      <w:r w:rsidRPr="005B3FD4">
        <w:t xml:space="preserve"> </w:t>
      </w:r>
      <w:r w:rsidRPr="005B3FD4">
        <w:rPr>
          <w:b/>
          <w:bCs/>
        </w:rPr>
        <w:t xml:space="preserve">Md. Code Nat. Res. § 8-724 </w:t>
      </w:r>
      <w:r w:rsidRPr="005B3FD4">
        <w:rPr>
          <w:b/>
          <w:bCs/>
          <w:cs/>
          <w:lang w:bidi="mr-IN"/>
        </w:rPr>
        <w:t>–</w:t>
      </w:r>
      <w:r w:rsidRPr="005B3FD4">
        <w:rPr>
          <w:b/>
          <w:bCs/>
        </w:rPr>
        <w:t xml:space="preserve"> Reporting of Boating Accident</w:t>
      </w:r>
    </w:p>
    <w:p w14:paraId="09ECC193" w14:textId="7240DB0C" w:rsidR="005B3FD4" w:rsidRPr="000D0CB8" w:rsidRDefault="005B3FD4" w:rsidP="000D0CB8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720" w:hanging="720"/>
        <w:jc w:val="both"/>
      </w:pPr>
      <w:r w:rsidRPr="000D0CB8">
        <w:rPr>
          <w:b/>
          <w:bCs/>
        </w:rPr>
        <w:t xml:space="preserve">COMAR 08.04.07.01 </w:t>
      </w:r>
      <w:r w:rsidRPr="000D0CB8">
        <w:rPr>
          <w:b/>
          <w:bCs/>
          <w:cs/>
          <w:lang w:bidi="mr-IN"/>
        </w:rPr>
        <w:t>–</w:t>
      </w:r>
      <w:r w:rsidRPr="000D0CB8">
        <w:rPr>
          <w:b/>
          <w:bCs/>
        </w:rPr>
        <w:t xml:space="preserve"> Reporting of Boating Accidents</w:t>
      </w:r>
    </w:p>
    <w:p w14:paraId="1170E64B" w14:textId="77777777" w:rsidR="000D0CB8" w:rsidRDefault="000D0CB8" w:rsidP="000D0CB8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720" w:hanging="720"/>
        <w:jc w:val="both"/>
      </w:pPr>
      <w:r>
        <w:rPr>
          <w:b/>
          <w:bCs/>
        </w:rPr>
        <w:t xml:space="preserve">MD form for Reporting is </w:t>
      </w:r>
      <w:proofErr w:type="gramStart"/>
      <w:r>
        <w:rPr>
          <w:b/>
          <w:bCs/>
        </w:rPr>
        <w:t>USCG  Form</w:t>
      </w:r>
      <w:proofErr w:type="gramEnd"/>
      <w:r>
        <w:rPr>
          <w:b/>
          <w:bCs/>
        </w:rPr>
        <w:t xml:space="preserve"> 3865</w:t>
      </w:r>
      <w:r w:rsidR="005B3FD4" w:rsidRPr="005B3FD4">
        <w:t xml:space="preserve"> </w:t>
      </w:r>
    </w:p>
    <w:p w14:paraId="78735AE4" w14:textId="77777777" w:rsidR="000D0CB8" w:rsidRDefault="005B3FD4" w:rsidP="000D0CB8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720" w:hanging="720"/>
        <w:jc w:val="both"/>
      </w:pPr>
      <w:r w:rsidRPr="000D0CB8">
        <w:rPr>
          <w:b/>
          <w:bCs/>
        </w:rPr>
        <w:t xml:space="preserve">37 FR 21399 </w:t>
      </w:r>
      <w:r w:rsidRPr="005B3FD4">
        <w:t xml:space="preserve">states that, “the proposed regulations [including 173.55] were developed to </w:t>
      </w:r>
      <w:r w:rsidR="001E3753" w:rsidRPr="005B3FD4">
        <w:t>ensure</w:t>
      </w:r>
      <w:r w:rsidRPr="005B3FD4">
        <w:t xml:space="preserve"> that all injuries other than very minor injuries would be reported.”</w:t>
      </w:r>
    </w:p>
    <w:p w14:paraId="002BDB87" w14:textId="472F30E3" w:rsidR="005B3FD4" w:rsidRPr="005B3FD4" w:rsidRDefault="005B3FD4" w:rsidP="000D0CB8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720" w:hanging="720"/>
        <w:jc w:val="both"/>
      </w:pPr>
      <w:r w:rsidRPr="000D0CB8">
        <w:rPr>
          <w:b/>
          <w:bCs/>
        </w:rPr>
        <w:t xml:space="preserve">CFR </w:t>
      </w:r>
      <w:r w:rsidR="000D0CB8" w:rsidRPr="000D0CB8">
        <w:rPr>
          <w:b/>
          <w:bCs/>
        </w:rPr>
        <w:t>173.55(a)(4</w:t>
      </w:r>
      <w:r w:rsidR="000D0CB8" w:rsidRPr="000D0CB8">
        <w:rPr>
          <w:b/>
          <w:bCs/>
        </w:rPr>
        <w:t>)</w:t>
      </w:r>
      <w:r w:rsidRPr="005B3FD4">
        <w:t xml:space="preserve"> “Disappears” can be interpreted to mean that the individual is no longer in sight or accounted for. If an individual was originally on board a </w:t>
      </w:r>
      <w:r w:rsidR="001E3753" w:rsidRPr="005B3FD4">
        <w:t>vessel but</w:t>
      </w:r>
      <w:r w:rsidRPr="005B3FD4">
        <w:t xml:space="preserve"> does not return to the vessel </w:t>
      </w:r>
      <w:r w:rsidR="001E3753" w:rsidRPr="005B3FD4">
        <w:t>due</w:t>
      </w:r>
      <w:r w:rsidRPr="005B3FD4">
        <w:t xml:space="preserve"> to circumstances which indicate they died or received an injury causing them to disappear, this would require a report under 173.55(a)(4). </w:t>
      </w:r>
    </w:p>
    <w:p w14:paraId="2D9180AB" w14:textId="77777777" w:rsidR="005B3FD4" w:rsidRPr="005B3FD4" w:rsidRDefault="005B3FD4" w:rsidP="005B3FD4">
      <w:pPr>
        <w:spacing w:after="0" w:line="240" w:lineRule="auto"/>
        <w:rPr>
          <w:lang w:val="en-CA"/>
        </w:rPr>
      </w:pPr>
    </w:p>
    <w:sectPr w:rsidR="005B3FD4" w:rsidRPr="005B3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B1C2C"/>
    <w:multiLevelType w:val="hybridMultilevel"/>
    <w:tmpl w:val="D988CA50"/>
    <w:lvl w:ilvl="0" w:tplc="E230E9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B0DE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CFE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A27D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80AE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D037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AE1E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8218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0EFE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2508"/>
    <w:multiLevelType w:val="hybridMultilevel"/>
    <w:tmpl w:val="B6BCC86A"/>
    <w:lvl w:ilvl="0" w:tplc="30243B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4ACB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B801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C54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BC81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4AD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4B4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66BD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00C9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24401"/>
    <w:multiLevelType w:val="hybridMultilevel"/>
    <w:tmpl w:val="42901ED0"/>
    <w:lvl w:ilvl="0" w:tplc="9670BD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9457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A843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69D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A43F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E4F9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A4E7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3690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D0CF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94CC9"/>
    <w:multiLevelType w:val="hybridMultilevel"/>
    <w:tmpl w:val="FEFC9CCC"/>
    <w:lvl w:ilvl="0" w:tplc="A43624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D4327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680946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308A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CEA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84B9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A89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188A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8059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F3114"/>
    <w:multiLevelType w:val="hybridMultilevel"/>
    <w:tmpl w:val="00504606"/>
    <w:lvl w:ilvl="0" w:tplc="C0B2F61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8B4F84C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4FC5BF6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8D68EB4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FFAB78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11C9E0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77AA1B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1B89D20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E9892F2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234FAE"/>
    <w:multiLevelType w:val="hybridMultilevel"/>
    <w:tmpl w:val="F47E0E48"/>
    <w:lvl w:ilvl="0" w:tplc="5CAE00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CE6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260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EE4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D485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7AD5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868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C54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00D8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D6F29"/>
    <w:multiLevelType w:val="hybridMultilevel"/>
    <w:tmpl w:val="88AA73EA"/>
    <w:lvl w:ilvl="0" w:tplc="53D453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C83AD6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DE7E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8D7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A439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74BE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6E5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7816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B2FE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24E7E"/>
    <w:multiLevelType w:val="hybridMultilevel"/>
    <w:tmpl w:val="01264B54"/>
    <w:lvl w:ilvl="0" w:tplc="6A743D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10C08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2EFC56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89C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BAA6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B837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96C6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6E2B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9CBA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662B3"/>
    <w:multiLevelType w:val="hybridMultilevel"/>
    <w:tmpl w:val="6F3CEE3E"/>
    <w:lvl w:ilvl="0" w:tplc="77206D2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59EBC8C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2403D0C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42ED8B0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3AC4D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96E3C04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62E6366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FE0681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586A2B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2C"/>
    <w:rsid w:val="000D0CB8"/>
    <w:rsid w:val="001E3753"/>
    <w:rsid w:val="004D7512"/>
    <w:rsid w:val="005B3FD4"/>
    <w:rsid w:val="00743BA1"/>
    <w:rsid w:val="00891A9D"/>
    <w:rsid w:val="0097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A842"/>
  <w15:chartTrackingRefBased/>
  <w15:docId w15:val="{72430B17-FE0B-4D19-B99A-86C3FAFB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3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2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7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8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1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76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5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9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8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8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9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1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7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09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899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1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6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4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2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6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00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4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7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Paralegal</dc:creator>
  <cp:keywords/>
  <dc:description/>
  <cp:lastModifiedBy>Todd Lochner</cp:lastModifiedBy>
  <cp:revision>4</cp:revision>
  <dcterms:created xsi:type="dcterms:W3CDTF">2020-11-04T13:57:00Z</dcterms:created>
  <dcterms:modified xsi:type="dcterms:W3CDTF">2020-11-04T15:55:00Z</dcterms:modified>
</cp:coreProperties>
</file>