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7248B9" w:rsidRPr="007248B9" w:rsidTr="007248B9">
        <w:trPr>
          <w:tblCellSpacing w:w="15" w:type="dxa"/>
        </w:trPr>
        <w:tc>
          <w:tcPr>
            <w:tcW w:w="0" w:type="auto"/>
            <w:shd w:val="clear" w:color="auto" w:fill="F0F0F0"/>
            <w:vAlign w:val="center"/>
            <w:hideMark/>
          </w:tcPr>
          <w:p w:rsidR="007248B9" w:rsidRPr="007248B9" w:rsidRDefault="007248B9" w:rsidP="007248B9">
            <w:pPr>
              <w:spacing w:after="0" w:line="240" w:lineRule="auto"/>
              <w:rPr>
                <w:rFonts w:ascii="Verdana" w:eastAsia="Times New Roman" w:hAnsi="Verdana" w:cs="Times New Roman"/>
                <w:sz w:val="24"/>
                <w:szCs w:val="24"/>
              </w:rPr>
            </w:pPr>
          </w:p>
        </w:tc>
      </w:tr>
      <w:tr w:rsidR="007248B9" w:rsidRPr="007248B9" w:rsidTr="007248B9">
        <w:trPr>
          <w:tblCellSpacing w:w="15" w:type="dxa"/>
        </w:trPr>
        <w:tc>
          <w:tcPr>
            <w:tcW w:w="0" w:type="auto"/>
            <w:shd w:val="clear" w:color="auto" w:fill="003399"/>
            <w:vAlign w:val="center"/>
            <w:hideMark/>
          </w:tcPr>
          <w:p w:rsidR="007248B9" w:rsidRPr="007248B9" w:rsidRDefault="007248B9" w:rsidP="007248B9">
            <w:pPr>
              <w:spacing w:after="0" w:line="240" w:lineRule="auto"/>
              <w:rPr>
                <w:rFonts w:ascii="Verdana" w:eastAsia="Times New Roman" w:hAnsi="Verdana" w:cs="Times New Roman"/>
                <w:sz w:val="24"/>
                <w:szCs w:val="24"/>
              </w:rPr>
            </w:pPr>
            <w:r w:rsidRPr="007248B9">
              <w:rPr>
                <w:rFonts w:ascii="Verdana" w:eastAsia="Times New Roman" w:hAnsi="Verdana" w:cs="Times New Roman"/>
                <w:b/>
                <w:bCs/>
                <w:color w:val="FFFFFF"/>
                <w:sz w:val="20"/>
                <w:szCs w:val="20"/>
              </w:rPr>
              <w:t>Recreational Boating</w:t>
            </w:r>
          </w:p>
        </w:tc>
      </w:tr>
      <w:tr w:rsidR="007248B9" w:rsidRPr="007248B9" w:rsidTr="007248B9">
        <w:trPr>
          <w:tblCellSpacing w:w="15" w:type="dxa"/>
        </w:trPr>
        <w:tc>
          <w:tcPr>
            <w:tcW w:w="0" w:type="auto"/>
            <w:shd w:val="clear" w:color="auto" w:fill="F0F0F0"/>
            <w:vAlign w:val="center"/>
            <w:hideMark/>
          </w:tcPr>
          <w:p w:rsidR="007248B9" w:rsidRPr="007248B9" w:rsidRDefault="007248B9" w:rsidP="007248B9">
            <w:pPr>
              <w:spacing w:after="240" w:line="240" w:lineRule="auto"/>
              <w:rPr>
                <w:rFonts w:ascii="Verdana" w:eastAsia="Times New Roman" w:hAnsi="Verdana" w:cs="Times New Roman"/>
                <w:sz w:val="20"/>
                <w:szCs w:val="20"/>
              </w:rPr>
            </w:pPr>
            <w:bookmarkStart w:id="0" w:name="_GoBack"/>
            <w:r w:rsidRPr="007248B9">
              <w:rPr>
                <w:rFonts w:ascii="Verdana" w:eastAsia="Times New Roman" w:hAnsi="Verdana" w:cs="Times New Roman"/>
                <w:b/>
                <w:bCs/>
                <w:sz w:val="20"/>
                <w:szCs w:val="20"/>
              </w:rPr>
              <w:t>Source:</w:t>
            </w:r>
            <w:r w:rsidRPr="007248B9">
              <w:rPr>
                <w:rFonts w:ascii="Verdana" w:eastAsia="Times New Roman" w:hAnsi="Verdana" w:cs="Times New Roman"/>
                <w:sz w:val="20"/>
                <w:szCs w:val="20"/>
              </w:rPr>
              <w:t> MLA</w:t>
            </w:r>
            <w:r w:rsidRPr="007248B9">
              <w:rPr>
                <w:rFonts w:ascii="Verdana" w:eastAsia="Times New Roman" w:hAnsi="Verdana" w:cs="Times New Roman"/>
                <w:sz w:val="20"/>
                <w:szCs w:val="20"/>
              </w:rPr>
              <w:br/>
            </w:r>
            <w:r w:rsidRPr="007248B9">
              <w:rPr>
                <w:rFonts w:ascii="Verdana" w:eastAsia="Times New Roman" w:hAnsi="Verdana" w:cs="Times New Roman"/>
                <w:b/>
                <w:bCs/>
                <w:sz w:val="20"/>
                <w:szCs w:val="20"/>
              </w:rPr>
              <w:t>Doc. No.:</w:t>
            </w:r>
            <w:r w:rsidRPr="007248B9">
              <w:rPr>
                <w:rFonts w:ascii="Verdana" w:eastAsia="Times New Roman" w:hAnsi="Verdana" w:cs="Times New Roman"/>
                <w:sz w:val="20"/>
                <w:szCs w:val="20"/>
              </w:rPr>
              <w:t> 754</w:t>
            </w:r>
            <w:r w:rsidRPr="007248B9">
              <w:rPr>
                <w:rFonts w:ascii="Verdana" w:eastAsia="Times New Roman" w:hAnsi="Verdana" w:cs="Times New Roman"/>
                <w:sz w:val="20"/>
                <w:szCs w:val="20"/>
              </w:rPr>
              <w:br/>
            </w:r>
            <w:r w:rsidRPr="007248B9">
              <w:rPr>
                <w:rFonts w:ascii="Verdana" w:eastAsia="Times New Roman" w:hAnsi="Verdana" w:cs="Times New Roman"/>
                <w:b/>
                <w:bCs/>
                <w:sz w:val="20"/>
                <w:szCs w:val="20"/>
              </w:rPr>
              <w:t>Date:</w:t>
            </w:r>
            <w:r w:rsidRPr="007248B9">
              <w:rPr>
                <w:rFonts w:ascii="Verdana" w:eastAsia="Times New Roman" w:hAnsi="Verdana" w:cs="Times New Roman"/>
                <w:sz w:val="20"/>
                <w:szCs w:val="20"/>
              </w:rPr>
              <w:t> November 3, 2000</w:t>
            </w:r>
            <w:r w:rsidRPr="007248B9">
              <w:rPr>
                <w:rFonts w:ascii="Verdana" w:eastAsia="Times New Roman" w:hAnsi="Verdana" w:cs="Times New Roman"/>
                <w:sz w:val="20"/>
                <w:szCs w:val="20"/>
              </w:rPr>
              <w:br/>
            </w:r>
            <w:r w:rsidRPr="007248B9">
              <w:rPr>
                <w:rFonts w:ascii="Verdana" w:eastAsia="Times New Roman" w:hAnsi="Verdana" w:cs="Times New Roman"/>
                <w:b/>
                <w:bCs/>
                <w:sz w:val="20"/>
                <w:szCs w:val="20"/>
              </w:rPr>
              <w:t>Committee:</w:t>
            </w:r>
            <w:r w:rsidRPr="007248B9">
              <w:rPr>
                <w:rFonts w:ascii="Verdana" w:eastAsia="Times New Roman" w:hAnsi="Verdana" w:cs="Times New Roman"/>
                <w:sz w:val="20"/>
                <w:szCs w:val="20"/>
              </w:rPr>
              <w:t> </w:t>
            </w:r>
            <w:hyperlink r:id="rId5" w:history="1">
              <w:r w:rsidRPr="007248B9">
                <w:rPr>
                  <w:rFonts w:ascii="Verdana" w:eastAsia="Times New Roman" w:hAnsi="Verdana" w:cs="Times New Roman"/>
                  <w:color w:val="0000FF"/>
                  <w:sz w:val="20"/>
                  <w:szCs w:val="20"/>
                  <w:u w:val="single"/>
                </w:rPr>
                <w:t>RECREATIONAL BOATING</w:t>
              </w:r>
            </w:hyperlink>
            <w:r w:rsidRPr="007248B9">
              <w:rPr>
                <w:rFonts w:ascii="Verdana" w:eastAsia="Times New Roman" w:hAnsi="Verdana" w:cs="Times New Roman"/>
                <w:sz w:val="20"/>
                <w:szCs w:val="20"/>
              </w:rPr>
              <w:t> </w:t>
            </w:r>
            <w:r w:rsidRPr="007248B9">
              <w:rPr>
                <w:rFonts w:ascii="Verdana" w:eastAsia="Times New Roman" w:hAnsi="Verdana" w:cs="Times New Roman"/>
                <w:sz w:val="20"/>
                <w:szCs w:val="20"/>
              </w:rPr>
              <w:br/>
            </w:r>
            <w:r w:rsidRPr="007248B9">
              <w:rPr>
                <w:rFonts w:ascii="Verdana" w:eastAsia="Times New Roman" w:hAnsi="Verdana" w:cs="Times New Roman"/>
                <w:sz w:val="20"/>
                <w:szCs w:val="20"/>
              </w:rPr>
              <w:br/>
            </w:r>
          </w:p>
          <w:p w:rsidR="007248B9" w:rsidRPr="007248B9" w:rsidRDefault="007248B9" w:rsidP="007248B9">
            <w:pPr>
              <w:spacing w:after="0" w:line="240" w:lineRule="auto"/>
              <w:jc w:val="center"/>
              <w:rPr>
                <w:rFonts w:ascii="Verdana" w:eastAsia="Times New Roman" w:hAnsi="Verdana" w:cs="Times New Roman"/>
                <w:sz w:val="20"/>
                <w:szCs w:val="20"/>
              </w:rPr>
            </w:pPr>
            <w:r w:rsidRPr="007248B9">
              <w:rPr>
                <w:rFonts w:ascii="Verdana" w:eastAsia="Times New Roman" w:hAnsi="Verdana" w:cs="Times New Roman"/>
                <w:b/>
                <w:bCs/>
                <w:sz w:val="20"/>
                <w:szCs w:val="20"/>
              </w:rPr>
              <w:t>FORMAL REPORT OF THE COMMITTEE ON</w:t>
            </w:r>
          </w:p>
          <w:p w:rsidR="007248B9" w:rsidRPr="007248B9" w:rsidRDefault="007248B9" w:rsidP="007248B9">
            <w:pPr>
              <w:spacing w:after="0" w:line="240" w:lineRule="auto"/>
              <w:jc w:val="center"/>
              <w:rPr>
                <w:rFonts w:ascii="Verdana" w:eastAsia="Times New Roman" w:hAnsi="Verdana" w:cs="Times New Roman"/>
                <w:sz w:val="20"/>
                <w:szCs w:val="20"/>
              </w:rPr>
            </w:pPr>
            <w:r w:rsidRPr="007248B9">
              <w:rPr>
                <w:rFonts w:ascii="Verdana" w:eastAsia="Times New Roman" w:hAnsi="Verdana" w:cs="Times New Roman"/>
                <w:b/>
                <w:bCs/>
                <w:sz w:val="20"/>
                <w:szCs w:val="20"/>
              </w:rPr>
              <w:t>RECREATIONAL BOATING</w:t>
            </w:r>
          </w:p>
          <w:p w:rsidR="007248B9" w:rsidRPr="007248B9" w:rsidRDefault="007248B9" w:rsidP="007248B9">
            <w:pPr>
              <w:spacing w:after="0" w:line="240" w:lineRule="auto"/>
              <w:rPr>
                <w:rFonts w:ascii="Verdana" w:eastAsia="Times New Roman" w:hAnsi="Verdana" w:cs="Times New Roman"/>
                <w:sz w:val="20"/>
                <w:szCs w:val="20"/>
              </w:rPr>
            </w:pPr>
            <w:r w:rsidRPr="007248B9">
              <w:rPr>
                <w:rFonts w:ascii="Verdana" w:eastAsia="Times New Roman" w:hAnsi="Verdana" w:cs="Times New Roman"/>
                <w:sz w:val="20"/>
                <w:szCs w:val="20"/>
              </w:rPr>
              <w:br/>
            </w:r>
          </w:p>
          <w:p w:rsidR="007248B9" w:rsidRPr="007248B9" w:rsidRDefault="007248B9" w:rsidP="007248B9">
            <w:pPr>
              <w:spacing w:before="100" w:beforeAutospacing="1" w:after="100" w:afterAutospacing="1" w:line="240" w:lineRule="auto"/>
              <w:rPr>
                <w:rFonts w:ascii="Verdana" w:eastAsia="Times New Roman" w:hAnsi="Verdana" w:cs="Times New Roman"/>
                <w:sz w:val="20"/>
                <w:szCs w:val="20"/>
              </w:rPr>
            </w:pPr>
            <w:r w:rsidRPr="007248B9">
              <w:rPr>
                <w:rFonts w:ascii="Verdana" w:eastAsia="Times New Roman" w:hAnsi="Verdana" w:cs="Times New Roman"/>
                <w:sz w:val="20"/>
                <w:szCs w:val="20"/>
              </w:rPr>
              <w:t>The Committee met on 2 November 2000. Robert D. McIntosh presented an informational report on a proposal to amend the law to allow recording a notice of claim of lien against any federally documented vessel, whether subject to a preferred ship mortgage or not. Although this has been in Congress as part of the Coast Guard Authorization Act, we understood that final action had not yet been taken. We also noted that the VIS and VDS programs remain in limbo since authorized by Congress, without visible progress on the horizon. We also noted potential changes to the Death on the High Seas Act, and examined recently-published NTSB Recommendations and Statistics regarding recreational boats.</w:t>
            </w:r>
          </w:p>
          <w:p w:rsidR="007248B9" w:rsidRPr="007248B9" w:rsidRDefault="007248B9" w:rsidP="007248B9">
            <w:pPr>
              <w:spacing w:after="0" w:line="240" w:lineRule="auto"/>
              <w:rPr>
                <w:rFonts w:ascii="Verdana" w:eastAsia="Times New Roman" w:hAnsi="Verdana" w:cs="Times New Roman"/>
                <w:sz w:val="20"/>
                <w:szCs w:val="20"/>
              </w:rPr>
            </w:pPr>
            <w:r w:rsidRPr="007248B9">
              <w:rPr>
                <w:rFonts w:ascii="Verdana" w:eastAsia="Times New Roman" w:hAnsi="Verdana" w:cs="Times New Roman"/>
                <w:sz w:val="20"/>
                <w:szCs w:val="20"/>
              </w:rPr>
              <w:br/>
            </w:r>
          </w:p>
          <w:p w:rsidR="007248B9" w:rsidRPr="007248B9" w:rsidRDefault="007248B9" w:rsidP="007248B9">
            <w:pPr>
              <w:spacing w:before="100" w:beforeAutospacing="1" w:after="100" w:afterAutospacing="1" w:line="240" w:lineRule="auto"/>
              <w:rPr>
                <w:rFonts w:ascii="Verdana" w:eastAsia="Times New Roman" w:hAnsi="Verdana" w:cs="Times New Roman"/>
                <w:sz w:val="20"/>
                <w:szCs w:val="20"/>
              </w:rPr>
            </w:pPr>
            <w:r w:rsidRPr="007248B9">
              <w:rPr>
                <w:rFonts w:ascii="Verdana" w:eastAsia="Times New Roman" w:hAnsi="Verdana" w:cs="Times New Roman"/>
                <w:sz w:val="20"/>
                <w:szCs w:val="20"/>
              </w:rPr>
              <w:t xml:space="preserve">Frank P. </w:t>
            </w:r>
            <w:proofErr w:type="spellStart"/>
            <w:r w:rsidRPr="007248B9">
              <w:rPr>
                <w:rFonts w:ascii="Verdana" w:eastAsia="Times New Roman" w:hAnsi="Verdana" w:cs="Times New Roman"/>
                <w:sz w:val="20"/>
                <w:szCs w:val="20"/>
              </w:rPr>
              <w:t>DeGiulio</w:t>
            </w:r>
            <w:proofErr w:type="spellEnd"/>
            <w:r w:rsidRPr="007248B9">
              <w:rPr>
                <w:rFonts w:ascii="Verdana" w:eastAsia="Times New Roman" w:hAnsi="Verdana" w:cs="Times New Roman"/>
                <w:sz w:val="20"/>
                <w:szCs w:val="20"/>
              </w:rPr>
              <w:t xml:space="preserve"> handed out the Fall/Winter 2000 issue </w:t>
            </w:r>
            <w:proofErr w:type="spellStart"/>
            <w:r w:rsidRPr="007248B9">
              <w:rPr>
                <w:rFonts w:ascii="Verdana" w:eastAsia="Times New Roman" w:hAnsi="Verdana" w:cs="Times New Roman"/>
                <w:sz w:val="20"/>
                <w:szCs w:val="20"/>
              </w:rPr>
              <w:t>of</w:t>
            </w:r>
            <w:r w:rsidRPr="007248B9">
              <w:rPr>
                <w:rFonts w:ascii="Verdana" w:eastAsia="Times New Roman" w:hAnsi="Verdana" w:cs="Times New Roman"/>
                <w:i/>
                <w:iCs/>
                <w:sz w:val="20"/>
                <w:szCs w:val="20"/>
              </w:rPr>
              <w:t>Boating</w:t>
            </w:r>
            <w:proofErr w:type="spellEnd"/>
            <w:r w:rsidRPr="007248B9">
              <w:rPr>
                <w:rFonts w:ascii="Verdana" w:eastAsia="Times New Roman" w:hAnsi="Verdana" w:cs="Times New Roman"/>
                <w:i/>
                <w:iCs/>
                <w:sz w:val="20"/>
                <w:szCs w:val="20"/>
              </w:rPr>
              <w:t xml:space="preserve"> Briefs</w:t>
            </w:r>
            <w:r w:rsidRPr="007248B9">
              <w:rPr>
                <w:rFonts w:ascii="Verdana" w:eastAsia="Times New Roman" w:hAnsi="Verdana" w:cs="Times New Roman"/>
                <w:sz w:val="20"/>
                <w:szCs w:val="20"/>
              </w:rPr>
              <w:t xml:space="preserve"> which he had, as usual, ably prepared for distribution at the Association's General Meeting. Frank brought particular attention to the Third Circuit's use of </w:t>
            </w:r>
            <w:proofErr w:type="spellStart"/>
            <w:r w:rsidRPr="007248B9">
              <w:rPr>
                <w:rFonts w:ascii="Verdana" w:eastAsia="Times New Roman" w:hAnsi="Verdana" w:cs="Times New Roman"/>
                <w:sz w:val="20"/>
                <w:szCs w:val="20"/>
              </w:rPr>
              <w:t>depeçage</w:t>
            </w:r>
            <w:proofErr w:type="spellEnd"/>
            <w:r w:rsidRPr="007248B9">
              <w:rPr>
                <w:rFonts w:ascii="Verdana" w:eastAsia="Times New Roman" w:hAnsi="Verdana" w:cs="Times New Roman"/>
                <w:sz w:val="20"/>
                <w:szCs w:val="20"/>
              </w:rPr>
              <w:t xml:space="preserve"> to apply the laws of three jurisdictions to different issues in the latest round of </w:t>
            </w:r>
            <w:r w:rsidRPr="007248B9">
              <w:rPr>
                <w:rFonts w:ascii="Verdana" w:eastAsia="Times New Roman" w:hAnsi="Verdana" w:cs="Times New Roman"/>
                <w:i/>
                <w:iCs/>
                <w:sz w:val="20"/>
                <w:szCs w:val="20"/>
              </w:rPr>
              <w:t>Calhoun v. Yamaha Motor Corp.</w:t>
            </w:r>
            <w:r w:rsidRPr="007248B9">
              <w:rPr>
                <w:rFonts w:ascii="Verdana" w:eastAsia="Times New Roman" w:hAnsi="Verdana" w:cs="Times New Roman"/>
                <w:sz w:val="20"/>
                <w:szCs w:val="20"/>
              </w:rPr>
              <w:t>, 2000 AMC 1865 (3d Cir. 2000), and a recent decision making federal law exclusive of state statutory or common law with regard to propeller guards on boats, </w:t>
            </w:r>
            <w:r w:rsidRPr="007248B9">
              <w:rPr>
                <w:rFonts w:ascii="Verdana" w:eastAsia="Times New Roman" w:hAnsi="Verdana" w:cs="Times New Roman"/>
                <w:i/>
                <w:iCs/>
                <w:sz w:val="20"/>
                <w:szCs w:val="20"/>
              </w:rPr>
              <w:t>Lady v. Neal Glaser Marine, Inc.</w:t>
            </w:r>
            <w:r w:rsidRPr="007248B9">
              <w:rPr>
                <w:rFonts w:ascii="Verdana" w:eastAsia="Times New Roman" w:hAnsi="Verdana" w:cs="Times New Roman"/>
                <w:sz w:val="20"/>
                <w:szCs w:val="20"/>
              </w:rPr>
              <w:t>, 2000 AMC 2958 (5</w:t>
            </w:r>
            <w:r w:rsidRPr="007248B9">
              <w:rPr>
                <w:rFonts w:ascii="Verdana" w:eastAsia="Times New Roman" w:hAnsi="Verdana" w:cs="Times New Roman"/>
                <w:sz w:val="20"/>
                <w:szCs w:val="20"/>
                <w:vertAlign w:val="superscript"/>
              </w:rPr>
              <w:t>th</w:t>
            </w:r>
            <w:r w:rsidRPr="007248B9">
              <w:rPr>
                <w:rFonts w:ascii="Verdana" w:eastAsia="Times New Roman" w:hAnsi="Verdana" w:cs="Times New Roman"/>
                <w:sz w:val="20"/>
                <w:szCs w:val="20"/>
              </w:rPr>
              <w:t> Cir. 2000) (answering question left open when the Supreme Court dismissed </w:t>
            </w:r>
            <w:r w:rsidRPr="007248B9">
              <w:rPr>
                <w:rFonts w:ascii="Verdana" w:eastAsia="Times New Roman" w:hAnsi="Verdana" w:cs="Times New Roman"/>
                <w:i/>
                <w:iCs/>
                <w:sz w:val="20"/>
                <w:szCs w:val="20"/>
              </w:rPr>
              <w:t>Lewis v. Brunswick Corp.</w:t>
            </w:r>
            <w:r w:rsidRPr="007248B9">
              <w:rPr>
                <w:rFonts w:ascii="Verdana" w:eastAsia="Times New Roman" w:hAnsi="Verdana" w:cs="Times New Roman"/>
                <w:sz w:val="20"/>
                <w:szCs w:val="20"/>
              </w:rPr>
              <w:t>, 1998 AMC 2998 (1998) based on a settlement after oral argument in the Court).</w:t>
            </w:r>
          </w:p>
          <w:p w:rsidR="007248B9" w:rsidRPr="007248B9" w:rsidRDefault="007248B9" w:rsidP="007248B9">
            <w:pPr>
              <w:spacing w:after="0" w:line="240" w:lineRule="auto"/>
              <w:rPr>
                <w:rFonts w:ascii="Verdana" w:eastAsia="Times New Roman" w:hAnsi="Verdana" w:cs="Times New Roman"/>
                <w:sz w:val="20"/>
                <w:szCs w:val="20"/>
              </w:rPr>
            </w:pPr>
            <w:r w:rsidRPr="007248B9">
              <w:rPr>
                <w:rFonts w:ascii="Verdana" w:eastAsia="Times New Roman" w:hAnsi="Verdana" w:cs="Times New Roman"/>
                <w:sz w:val="20"/>
                <w:szCs w:val="20"/>
              </w:rPr>
              <w:br/>
            </w:r>
          </w:p>
          <w:p w:rsidR="007248B9" w:rsidRPr="007248B9" w:rsidRDefault="007248B9" w:rsidP="007248B9">
            <w:pPr>
              <w:spacing w:before="100" w:beforeAutospacing="1" w:after="100" w:afterAutospacing="1" w:line="240" w:lineRule="auto"/>
              <w:rPr>
                <w:rFonts w:ascii="Verdana" w:eastAsia="Times New Roman" w:hAnsi="Verdana" w:cs="Times New Roman"/>
                <w:sz w:val="20"/>
                <w:szCs w:val="20"/>
              </w:rPr>
            </w:pPr>
            <w:r w:rsidRPr="007248B9">
              <w:rPr>
                <w:rFonts w:ascii="Verdana" w:eastAsia="Times New Roman" w:hAnsi="Verdana" w:cs="Times New Roman"/>
                <w:sz w:val="20"/>
                <w:szCs w:val="20"/>
              </w:rPr>
              <w:t>Finally, the subject of amending the Inland Rules of the Road to accommodate the Sail Racing Rules when they conflict remains tabled. The Committee has no present plan to revive the issue unless substantial support for doing so and/or new developments appear.</w:t>
            </w:r>
          </w:p>
          <w:p w:rsidR="007248B9" w:rsidRPr="007248B9" w:rsidRDefault="007248B9" w:rsidP="007248B9">
            <w:pPr>
              <w:spacing w:after="0" w:line="240" w:lineRule="auto"/>
              <w:rPr>
                <w:rFonts w:ascii="Verdana" w:eastAsia="Times New Roman" w:hAnsi="Verdana" w:cs="Times New Roman"/>
                <w:sz w:val="20"/>
                <w:szCs w:val="20"/>
              </w:rPr>
            </w:pPr>
            <w:r w:rsidRPr="007248B9">
              <w:rPr>
                <w:rFonts w:ascii="Verdana" w:eastAsia="Times New Roman" w:hAnsi="Verdana" w:cs="Times New Roman"/>
                <w:sz w:val="20"/>
                <w:szCs w:val="20"/>
              </w:rPr>
              <w:br/>
            </w:r>
          </w:p>
          <w:p w:rsidR="007248B9" w:rsidRPr="007248B9" w:rsidRDefault="007248B9" w:rsidP="007248B9">
            <w:pPr>
              <w:spacing w:before="100" w:beforeAutospacing="1" w:after="100" w:afterAutospacing="1" w:line="240" w:lineRule="auto"/>
              <w:rPr>
                <w:rFonts w:ascii="Verdana" w:eastAsia="Times New Roman" w:hAnsi="Verdana" w:cs="Times New Roman"/>
                <w:sz w:val="20"/>
                <w:szCs w:val="20"/>
              </w:rPr>
            </w:pPr>
            <w:r w:rsidRPr="007248B9">
              <w:rPr>
                <w:rFonts w:ascii="Verdana" w:eastAsia="Times New Roman" w:hAnsi="Verdana" w:cs="Times New Roman"/>
                <w:sz w:val="20"/>
                <w:szCs w:val="20"/>
              </w:rPr>
              <w:t>Respectfully submitted,</w:t>
            </w:r>
          </w:p>
          <w:p w:rsidR="007248B9" w:rsidRPr="007248B9" w:rsidRDefault="007248B9" w:rsidP="007248B9">
            <w:pPr>
              <w:spacing w:after="0" w:line="240" w:lineRule="auto"/>
              <w:rPr>
                <w:rFonts w:ascii="Verdana" w:eastAsia="Times New Roman" w:hAnsi="Verdana" w:cs="Times New Roman"/>
                <w:sz w:val="20"/>
                <w:szCs w:val="20"/>
              </w:rPr>
            </w:pPr>
            <w:r w:rsidRPr="007248B9">
              <w:rPr>
                <w:rFonts w:ascii="Verdana" w:eastAsia="Times New Roman" w:hAnsi="Verdana" w:cs="Times New Roman"/>
                <w:sz w:val="20"/>
                <w:szCs w:val="20"/>
              </w:rPr>
              <w:br/>
            </w:r>
          </w:p>
          <w:p w:rsidR="007248B9" w:rsidRPr="007248B9" w:rsidRDefault="007248B9" w:rsidP="007248B9">
            <w:pPr>
              <w:spacing w:before="100" w:beforeAutospacing="1" w:after="100" w:afterAutospacing="1" w:line="240" w:lineRule="auto"/>
              <w:rPr>
                <w:rFonts w:ascii="Verdana" w:eastAsia="Times New Roman" w:hAnsi="Verdana" w:cs="Times New Roman"/>
                <w:sz w:val="20"/>
                <w:szCs w:val="20"/>
              </w:rPr>
            </w:pPr>
            <w:r w:rsidRPr="007248B9">
              <w:rPr>
                <w:rFonts w:ascii="Verdana" w:eastAsia="Times New Roman" w:hAnsi="Verdana" w:cs="Times New Roman"/>
                <w:sz w:val="20"/>
                <w:szCs w:val="20"/>
              </w:rPr>
              <w:t xml:space="preserve">Donald C. </w:t>
            </w:r>
            <w:proofErr w:type="spellStart"/>
            <w:r w:rsidRPr="007248B9">
              <w:rPr>
                <w:rFonts w:ascii="Verdana" w:eastAsia="Times New Roman" w:hAnsi="Verdana" w:cs="Times New Roman"/>
                <w:sz w:val="20"/>
                <w:szCs w:val="20"/>
              </w:rPr>
              <w:t>Greenman</w:t>
            </w:r>
            <w:proofErr w:type="spellEnd"/>
            <w:r w:rsidRPr="007248B9">
              <w:rPr>
                <w:rFonts w:ascii="Verdana" w:eastAsia="Times New Roman" w:hAnsi="Verdana" w:cs="Times New Roman"/>
                <w:sz w:val="20"/>
                <w:szCs w:val="20"/>
              </w:rPr>
              <w:t>, Chair</w:t>
            </w:r>
          </w:p>
        </w:tc>
      </w:tr>
      <w:bookmarkEnd w:id="0"/>
    </w:tbl>
    <w:p w:rsidR="00AC7901" w:rsidRDefault="007248B9"/>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06"/>
    <w:rsid w:val="006C5A08"/>
    <w:rsid w:val="007248B9"/>
    <w:rsid w:val="008D3551"/>
    <w:rsid w:val="00C3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2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2015-03-19T05:55:00Z</dcterms:created>
  <dcterms:modified xsi:type="dcterms:W3CDTF">2015-03-19T05:55:00Z</dcterms:modified>
</cp:coreProperties>
</file>