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7B6ECA" w:rsidRPr="007B6ECA" w:rsidTr="007B6ECA">
        <w:trPr>
          <w:tblCellSpacing w:w="15" w:type="dxa"/>
        </w:trPr>
        <w:tc>
          <w:tcPr>
            <w:tcW w:w="0" w:type="auto"/>
            <w:shd w:val="clear" w:color="auto" w:fill="003399"/>
            <w:vAlign w:val="center"/>
            <w:hideMark/>
          </w:tcPr>
          <w:p w:rsidR="007B6ECA" w:rsidRPr="007B6ECA" w:rsidRDefault="007B6ECA" w:rsidP="007B6ECA">
            <w:pPr>
              <w:spacing w:after="0" w:line="240" w:lineRule="auto"/>
              <w:rPr>
                <w:rFonts w:ascii="Verdana" w:eastAsia="Times New Roman" w:hAnsi="Verdana" w:cs="Times New Roman"/>
                <w:sz w:val="24"/>
                <w:szCs w:val="24"/>
              </w:rPr>
            </w:pPr>
            <w:r w:rsidRPr="007B6ECA">
              <w:rPr>
                <w:rFonts w:ascii="Verdana" w:eastAsia="Times New Roman" w:hAnsi="Verdana" w:cs="Times New Roman"/>
                <w:b/>
                <w:bCs/>
                <w:color w:val="FFFFFF"/>
                <w:sz w:val="20"/>
                <w:szCs w:val="20"/>
              </w:rPr>
              <w:t>Continuing Legal Education</w:t>
            </w:r>
          </w:p>
        </w:tc>
      </w:tr>
      <w:tr w:rsidR="007B6ECA" w:rsidRPr="007B6ECA" w:rsidTr="007B6ECA">
        <w:trPr>
          <w:tblCellSpacing w:w="15" w:type="dxa"/>
        </w:trPr>
        <w:tc>
          <w:tcPr>
            <w:tcW w:w="0" w:type="auto"/>
            <w:shd w:val="clear" w:color="auto" w:fill="F0F0F0"/>
            <w:vAlign w:val="center"/>
            <w:hideMark/>
          </w:tcPr>
          <w:p w:rsidR="007B6ECA" w:rsidRPr="007B6ECA" w:rsidRDefault="007B6ECA" w:rsidP="007B6ECA">
            <w:pPr>
              <w:spacing w:after="240" w:line="240" w:lineRule="auto"/>
              <w:rPr>
                <w:rFonts w:ascii="Verdana" w:eastAsia="Times New Roman" w:hAnsi="Verdana" w:cs="Times New Roman"/>
                <w:sz w:val="20"/>
                <w:szCs w:val="20"/>
              </w:rPr>
            </w:pPr>
            <w:r w:rsidRPr="007B6ECA">
              <w:rPr>
                <w:rFonts w:ascii="Verdana" w:eastAsia="Times New Roman" w:hAnsi="Verdana" w:cs="Times New Roman"/>
                <w:b/>
                <w:bCs/>
                <w:sz w:val="20"/>
                <w:szCs w:val="20"/>
              </w:rPr>
              <w:t>Source:</w:t>
            </w:r>
            <w:r w:rsidRPr="007B6ECA">
              <w:rPr>
                <w:rFonts w:ascii="Verdana" w:eastAsia="Times New Roman" w:hAnsi="Verdana" w:cs="Times New Roman"/>
                <w:sz w:val="20"/>
                <w:szCs w:val="20"/>
              </w:rPr>
              <w:t> MLA</w:t>
            </w:r>
            <w:r w:rsidRPr="007B6ECA">
              <w:rPr>
                <w:rFonts w:ascii="Verdana" w:eastAsia="Times New Roman" w:hAnsi="Verdana" w:cs="Times New Roman"/>
                <w:sz w:val="20"/>
                <w:szCs w:val="20"/>
              </w:rPr>
              <w:br/>
            </w:r>
            <w:r w:rsidRPr="007B6ECA">
              <w:rPr>
                <w:rFonts w:ascii="Verdana" w:eastAsia="Times New Roman" w:hAnsi="Verdana" w:cs="Times New Roman"/>
                <w:b/>
                <w:bCs/>
                <w:sz w:val="20"/>
                <w:szCs w:val="20"/>
              </w:rPr>
              <w:t>Date:</w:t>
            </w:r>
            <w:r w:rsidRPr="007B6ECA">
              <w:rPr>
                <w:rFonts w:ascii="Verdana" w:eastAsia="Times New Roman" w:hAnsi="Verdana" w:cs="Times New Roman"/>
                <w:sz w:val="20"/>
                <w:szCs w:val="20"/>
              </w:rPr>
              <w:t> October 19, 2001</w:t>
            </w:r>
            <w:r w:rsidRPr="007B6ECA">
              <w:rPr>
                <w:rFonts w:ascii="Verdana" w:eastAsia="Times New Roman" w:hAnsi="Verdana" w:cs="Times New Roman"/>
                <w:sz w:val="20"/>
                <w:szCs w:val="20"/>
              </w:rPr>
              <w:br/>
            </w:r>
            <w:r w:rsidRPr="007B6ECA">
              <w:rPr>
                <w:rFonts w:ascii="Verdana" w:eastAsia="Times New Roman" w:hAnsi="Verdana" w:cs="Times New Roman"/>
                <w:b/>
                <w:bCs/>
                <w:sz w:val="20"/>
                <w:szCs w:val="20"/>
              </w:rPr>
              <w:t>Committee:</w:t>
            </w:r>
            <w:r w:rsidRPr="007B6ECA">
              <w:rPr>
                <w:rFonts w:ascii="Verdana" w:eastAsia="Times New Roman" w:hAnsi="Verdana" w:cs="Times New Roman"/>
                <w:sz w:val="20"/>
                <w:szCs w:val="20"/>
              </w:rPr>
              <w:t> </w:t>
            </w:r>
            <w:hyperlink r:id="rId5" w:history="1">
              <w:r w:rsidRPr="007B6ECA">
                <w:rPr>
                  <w:rFonts w:ascii="Verdana" w:eastAsia="Times New Roman" w:hAnsi="Verdana" w:cs="Times New Roman"/>
                  <w:color w:val="0000FF"/>
                  <w:sz w:val="20"/>
                  <w:szCs w:val="20"/>
                  <w:u w:val="single"/>
                </w:rPr>
                <w:t>CONTINUING LEGAL EDUCATION</w:t>
              </w:r>
            </w:hyperlink>
            <w:r w:rsidRPr="007B6ECA">
              <w:rPr>
                <w:rFonts w:ascii="Verdana" w:eastAsia="Times New Roman" w:hAnsi="Verdana" w:cs="Times New Roman"/>
                <w:sz w:val="20"/>
                <w:szCs w:val="20"/>
              </w:rPr>
              <w:t> </w:t>
            </w:r>
            <w:r w:rsidRPr="007B6ECA">
              <w:rPr>
                <w:rFonts w:ascii="Verdana" w:eastAsia="Times New Roman" w:hAnsi="Verdana" w:cs="Times New Roman"/>
                <w:sz w:val="20"/>
                <w:szCs w:val="20"/>
              </w:rPr>
              <w:br/>
            </w:r>
            <w:r w:rsidRPr="007B6ECA">
              <w:rPr>
                <w:rFonts w:ascii="Verdana" w:eastAsia="Times New Roman" w:hAnsi="Verdana" w:cs="Times New Roman"/>
                <w:sz w:val="20"/>
                <w:szCs w:val="20"/>
              </w:rPr>
              <w:br/>
            </w:r>
          </w:p>
          <w:p w:rsidR="007B6ECA" w:rsidRPr="007B6ECA" w:rsidRDefault="007B6ECA" w:rsidP="007B6ECA">
            <w:pPr>
              <w:spacing w:after="0" w:line="240" w:lineRule="auto"/>
              <w:jc w:val="center"/>
              <w:rPr>
                <w:rFonts w:ascii="Verdana" w:eastAsia="Times New Roman" w:hAnsi="Verdana" w:cs="Times New Roman"/>
                <w:sz w:val="20"/>
                <w:szCs w:val="20"/>
              </w:rPr>
            </w:pPr>
            <w:r w:rsidRPr="007B6ECA">
              <w:rPr>
                <w:rFonts w:ascii="Verdana" w:eastAsia="Times New Roman" w:hAnsi="Verdana" w:cs="Times New Roman"/>
                <w:b/>
                <w:bCs/>
                <w:sz w:val="20"/>
                <w:szCs w:val="20"/>
              </w:rPr>
              <w:t>FORMAL REPORT OF THE COMMITTEE ON</w:t>
            </w:r>
          </w:p>
          <w:p w:rsidR="007B6ECA" w:rsidRPr="007B6ECA" w:rsidRDefault="007B6ECA" w:rsidP="007B6ECA">
            <w:pPr>
              <w:spacing w:after="0" w:line="240" w:lineRule="auto"/>
              <w:jc w:val="center"/>
              <w:rPr>
                <w:rFonts w:ascii="Verdana" w:eastAsia="Times New Roman" w:hAnsi="Verdana" w:cs="Times New Roman"/>
                <w:sz w:val="20"/>
                <w:szCs w:val="20"/>
              </w:rPr>
            </w:pPr>
            <w:r w:rsidRPr="007B6ECA">
              <w:rPr>
                <w:rFonts w:ascii="Verdana" w:eastAsia="Times New Roman" w:hAnsi="Verdana" w:cs="Times New Roman"/>
                <w:b/>
                <w:bCs/>
                <w:sz w:val="20"/>
                <w:szCs w:val="20"/>
              </w:rPr>
              <w:t>CONTINUING LEGAL EDUCATION</w:t>
            </w:r>
          </w:p>
          <w:p w:rsidR="007B6ECA" w:rsidRPr="007B6ECA" w:rsidRDefault="007B6ECA" w:rsidP="007B6ECA">
            <w:pPr>
              <w:spacing w:after="0" w:line="240" w:lineRule="auto"/>
              <w:rPr>
                <w:rFonts w:ascii="Verdana" w:eastAsia="Times New Roman" w:hAnsi="Verdana" w:cs="Times New Roman"/>
                <w:sz w:val="20"/>
                <w:szCs w:val="20"/>
              </w:rPr>
            </w:pPr>
            <w:r w:rsidRPr="007B6ECA">
              <w:rPr>
                <w:rFonts w:ascii="Verdana" w:eastAsia="Times New Roman" w:hAnsi="Verdana" w:cs="Times New Roman"/>
                <w:sz w:val="20"/>
                <w:szCs w:val="20"/>
              </w:rPr>
              <w:br/>
            </w:r>
          </w:p>
          <w:p w:rsidR="007B6ECA" w:rsidRPr="007B6ECA" w:rsidRDefault="007B6ECA" w:rsidP="007B6ECA">
            <w:pPr>
              <w:spacing w:before="100" w:beforeAutospacing="1" w:after="100" w:afterAutospacing="1" w:line="240" w:lineRule="auto"/>
              <w:rPr>
                <w:rFonts w:ascii="Verdana" w:eastAsia="Times New Roman" w:hAnsi="Verdana" w:cs="Times New Roman"/>
                <w:sz w:val="20"/>
                <w:szCs w:val="20"/>
              </w:rPr>
            </w:pPr>
            <w:r w:rsidRPr="007B6ECA">
              <w:rPr>
                <w:rFonts w:ascii="Verdana" w:eastAsia="Times New Roman" w:hAnsi="Verdana" w:cs="Times New Roman"/>
                <w:sz w:val="20"/>
                <w:szCs w:val="20"/>
              </w:rPr>
              <w:t xml:space="preserve">This past year, the MLA Continuing Legal Education ("CLE") Committee has prepared its Annual Report to NYS CLE Board, which is necessary to maintain the MLA's status as an accredited provider of CLE programs in New York State. The Committee has also guided coordinators of the various MLA's CLE Programs; provided information as a co-sponsor of the ICMA XIV Congress CLE; and guided attorneys from states other than New York as to their state's reciprocity for credit for CLE Programs given by the MLA which is accredited only in New York. At the Committee's request, Bob </w:t>
            </w:r>
            <w:proofErr w:type="spellStart"/>
            <w:r w:rsidRPr="007B6ECA">
              <w:rPr>
                <w:rFonts w:ascii="Verdana" w:eastAsia="Times New Roman" w:hAnsi="Verdana" w:cs="Times New Roman"/>
                <w:sz w:val="20"/>
                <w:szCs w:val="20"/>
              </w:rPr>
              <w:t>Acomb</w:t>
            </w:r>
            <w:proofErr w:type="spellEnd"/>
            <w:r w:rsidRPr="007B6ECA">
              <w:rPr>
                <w:rFonts w:ascii="Verdana" w:eastAsia="Times New Roman" w:hAnsi="Verdana" w:cs="Times New Roman"/>
                <w:sz w:val="20"/>
                <w:szCs w:val="20"/>
              </w:rPr>
              <w:t xml:space="preserve">, Charles E. </w:t>
            </w:r>
            <w:proofErr w:type="spellStart"/>
            <w:r w:rsidRPr="007B6ECA">
              <w:rPr>
                <w:rFonts w:ascii="Verdana" w:eastAsia="Times New Roman" w:hAnsi="Verdana" w:cs="Times New Roman"/>
                <w:sz w:val="20"/>
                <w:szCs w:val="20"/>
              </w:rPr>
              <w:t>Lugenbuhl</w:t>
            </w:r>
            <w:proofErr w:type="spellEnd"/>
            <w:r w:rsidRPr="007B6ECA">
              <w:rPr>
                <w:rFonts w:ascii="Verdana" w:eastAsia="Times New Roman" w:hAnsi="Verdana" w:cs="Times New Roman"/>
                <w:sz w:val="20"/>
                <w:szCs w:val="20"/>
              </w:rPr>
              <w:t xml:space="preserve">, Donald </w:t>
            </w:r>
            <w:proofErr w:type="spellStart"/>
            <w:r w:rsidRPr="007B6ECA">
              <w:rPr>
                <w:rFonts w:ascii="Verdana" w:eastAsia="Times New Roman" w:hAnsi="Verdana" w:cs="Times New Roman"/>
                <w:sz w:val="20"/>
                <w:szCs w:val="20"/>
              </w:rPr>
              <w:t>Abaunza</w:t>
            </w:r>
            <w:proofErr w:type="spellEnd"/>
            <w:r w:rsidRPr="007B6ECA">
              <w:rPr>
                <w:rFonts w:ascii="Verdana" w:eastAsia="Times New Roman" w:hAnsi="Verdana" w:cs="Times New Roman"/>
                <w:sz w:val="20"/>
                <w:szCs w:val="20"/>
              </w:rPr>
              <w:t xml:space="preserve">, Dwight LeBlanc Jr., George Healy, Winston Rice, and Bill </w:t>
            </w:r>
            <w:proofErr w:type="spellStart"/>
            <w:r w:rsidRPr="007B6ECA">
              <w:rPr>
                <w:rFonts w:ascii="Verdana" w:eastAsia="Times New Roman" w:hAnsi="Verdana" w:cs="Times New Roman"/>
                <w:sz w:val="20"/>
                <w:szCs w:val="20"/>
              </w:rPr>
              <w:t>Porteous</w:t>
            </w:r>
            <w:proofErr w:type="spellEnd"/>
            <w:r w:rsidRPr="007B6ECA">
              <w:rPr>
                <w:rFonts w:ascii="Verdana" w:eastAsia="Times New Roman" w:hAnsi="Verdana" w:cs="Times New Roman"/>
                <w:sz w:val="20"/>
                <w:szCs w:val="20"/>
              </w:rPr>
              <w:t xml:space="preserve"> of New Orleans; Marion McDaniel, the Honorable John Woolridge, Gray Miller, G. Byron Sims, Louis McCarter, James </w:t>
            </w:r>
            <w:proofErr w:type="spellStart"/>
            <w:r w:rsidRPr="007B6ECA">
              <w:rPr>
                <w:rFonts w:ascii="Verdana" w:eastAsia="Times New Roman" w:hAnsi="Verdana" w:cs="Times New Roman"/>
                <w:sz w:val="20"/>
                <w:szCs w:val="20"/>
              </w:rPr>
              <w:t>Sentner</w:t>
            </w:r>
            <w:proofErr w:type="spellEnd"/>
            <w:r w:rsidRPr="007B6ECA">
              <w:rPr>
                <w:rFonts w:ascii="Verdana" w:eastAsia="Times New Roman" w:hAnsi="Verdana" w:cs="Times New Roman"/>
                <w:sz w:val="20"/>
                <w:szCs w:val="20"/>
              </w:rPr>
              <w:t xml:space="preserve">, Joseph </w:t>
            </w:r>
            <w:proofErr w:type="spellStart"/>
            <w:r w:rsidRPr="007B6ECA">
              <w:rPr>
                <w:rFonts w:ascii="Verdana" w:eastAsia="Times New Roman" w:hAnsi="Verdana" w:cs="Times New Roman"/>
                <w:sz w:val="20"/>
                <w:szCs w:val="20"/>
              </w:rPr>
              <w:t>Cheavens</w:t>
            </w:r>
            <w:proofErr w:type="spellEnd"/>
            <w:r w:rsidRPr="007B6ECA">
              <w:rPr>
                <w:rFonts w:ascii="Verdana" w:eastAsia="Times New Roman" w:hAnsi="Verdana" w:cs="Times New Roman"/>
                <w:sz w:val="20"/>
                <w:szCs w:val="20"/>
              </w:rPr>
              <w:t xml:space="preserve">, Ronald White, Robert </w:t>
            </w:r>
            <w:proofErr w:type="spellStart"/>
            <w:r w:rsidRPr="007B6ECA">
              <w:rPr>
                <w:rFonts w:ascii="Verdana" w:eastAsia="Times New Roman" w:hAnsi="Verdana" w:cs="Times New Roman"/>
                <w:sz w:val="20"/>
                <w:szCs w:val="20"/>
              </w:rPr>
              <w:t>Klawetter</w:t>
            </w:r>
            <w:proofErr w:type="spellEnd"/>
            <w:r w:rsidRPr="007B6ECA">
              <w:rPr>
                <w:rFonts w:ascii="Verdana" w:eastAsia="Times New Roman" w:hAnsi="Verdana" w:cs="Times New Roman"/>
                <w:sz w:val="20"/>
                <w:szCs w:val="20"/>
              </w:rPr>
              <w:t>, and Michael Bell of Houston; and Jim Moseley and Jim Moseley, Jr. of Jacksonville, lobbied their respective states' CLE Boards requesting that they grant reciprocity to CLE credits offered at MLA CLE programs. Although the state CLE Boards did not give the Committee the result the Committee had hoped, the Committee is grateful for the assistance of these individuals.</w:t>
            </w:r>
          </w:p>
          <w:p w:rsidR="007B6ECA" w:rsidRPr="007B6ECA" w:rsidRDefault="007B6ECA" w:rsidP="007B6ECA">
            <w:pPr>
              <w:spacing w:after="0" w:line="240" w:lineRule="auto"/>
              <w:rPr>
                <w:rFonts w:ascii="Verdana" w:eastAsia="Times New Roman" w:hAnsi="Verdana" w:cs="Times New Roman"/>
                <w:sz w:val="20"/>
                <w:szCs w:val="20"/>
              </w:rPr>
            </w:pPr>
            <w:r w:rsidRPr="007B6ECA">
              <w:rPr>
                <w:rFonts w:ascii="Verdana" w:eastAsia="Times New Roman" w:hAnsi="Verdana" w:cs="Times New Roman"/>
                <w:sz w:val="20"/>
                <w:szCs w:val="20"/>
              </w:rPr>
              <w:br/>
            </w:r>
          </w:p>
          <w:p w:rsidR="007B6ECA" w:rsidRPr="007B6ECA" w:rsidRDefault="007B6ECA" w:rsidP="007B6ECA">
            <w:pPr>
              <w:spacing w:before="100" w:beforeAutospacing="1" w:after="100" w:afterAutospacing="1" w:line="240" w:lineRule="auto"/>
              <w:rPr>
                <w:rFonts w:ascii="Verdana" w:eastAsia="Times New Roman" w:hAnsi="Verdana" w:cs="Times New Roman"/>
                <w:sz w:val="20"/>
                <w:szCs w:val="20"/>
              </w:rPr>
            </w:pPr>
            <w:r w:rsidRPr="007B6ECA">
              <w:rPr>
                <w:rFonts w:ascii="Verdana" w:eastAsia="Times New Roman" w:hAnsi="Verdana" w:cs="Times New Roman"/>
                <w:sz w:val="20"/>
                <w:szCs w:val="20"/>
              </w:rPr>
              <w:t>In the coming year, the MLA CLE Committee expects to continue with the above, plus every three years, the Committee will apply to be reaccredited as CLE provider in New York.</w:t>
            </w:r>
          </w:p>
          <w:p w:rsidR="007B6ECA" w:rsidRPr="007B6ECA" w:rsidRDefault="007B6ECA" w:rsidP="007B6ECA">
            <w:pPr>
              <w:spacing w:after="0" w:line="240" w:lineRule="auto"/>
              <w:rPr>
                <w:rFonts w:ascii="Verdana" w:eastAsia="Times New Roman" w:hAnsi="Verdana" w:cs="Times New Roman"/>
                <w:sz w:val="20"/>
                <w:szCs w:val="20"/>
              </w:rPr>
            </w:pPr>
            <w:r w:rsidRPr="007B6ECA">
              <w:rPr>
                <w:rFonts w:ascii="Verdana" w:eastAsia="Times New Roman" w:hAnsi="Verdana" w:cs="Times New Roman"/>
                <w:sz w:val="20"/>
                <w:szCs w:val="20"/>
              </w:rPr>
              <w:br/>
            </w:r>
          </w:p>
          <w:p w:rsidR="007B6ECA" w:rsidRPr="007B6ECA" w:rsidRDefault="007B6ECA" w:rsidP="007B6ECA">
            <w:pPr>
              <w:spacing w:before="100" w:beforeAutospacing="1" w:after="100" w:afterAutospacing="1" w:line="240" w:lineRule="auto"/>
              <w:rPr>
                <w:rFonts w:ascii="Verdana" w:eastAsia="Times New Roman" w:hAnsi="Verdana" w:cs="Times New Roman"/>
                <w:sz w:val="20"/>
                <w:szCs w:val="20"/>
              </w:rPr>
            </w:pPr>
            <w:r w:rsidRPr="007B6ECA">
              <w:rPr>
                <w:rFonts w:ascii="Verdana" w:eastAsia="Times New Roman" w:hAnsi="Verdana" w:cs="Times New Roman"/>
                <w:sz w:val="20"/>
                <w:szCs w:val="20"/>
              </w:rPr>
              <w:t>Respectfully submitted,</w:t>
            </w:r>
          </w:p>
          <w:p w:rsidR="007B6ECA" w:rsidRPr="007B6ECA" w:rsidRDefault="007B6ECA" w:rsidP="007B6ECA">
            <w:pPr>
              <w:spacing w:after="0" w:line="240" w:lineRule="auto"/>
              <w:rPr>
                <w:rFonts w:ascii="Verdana" w:eastAsia="Times New Roman" w:hAnsi="Verdana" w:cs="Times New Roman"/>
                <w:sz w:val="20"/>
                <w:szCs w:val="20"/>
              </w:rPr>
            </w:pPr>
            <w:r w:rsidRPr="007B6ECA">
              <w:rPr>
                <w:rFonts w:ascii="Verdana" w:eastAsia="Times New Roman" w:hAnsi="Verdana" w:cs="Times New Roman"/>
                <w:sz w:val="20"/>
                <w:szCs w:val="20"/>
              </w:rPr>
              <w:br/>
            </w:r>
          </w:p>
          <w:p w:rsidR="007B6ECA" w:rsidRPr="007B6ECA" w:rsidRDefault="007B6ECA" w:rsidP="007B6ECA">
            <w:pPr>
              <w:spacing w:before="100" w:beforeAutospacing="1" w:after="100" w:afterAutospacing="1" w:line="240" w:lineRule="auto"/>
              <w:rPr>
                <w:rFonts w:ascii="Verdana" w:eastAsia="Times New Roman" w:hAnsi="Verdana" w:cs="Times New Roman"/>
                <w:sz w:val="20"/>
                <w:szCs w:val="20"/>
              </w:rPr>
            </w:pPr>
            <w:r w:rsidRPr="007B6ECA">
              <w:rPr>
                <w:rFonts w:ascii="Verdana" w:eastAsia="Times New Roman" w:hAnsi="Verdana" w:cs="Times New Roman"/>
                <w:sz w:val="20"/>
                <w:szCs w:val="20"/>
              </w:rPr>
              <w:t>Lawrence J. Bowles, Chair</w:t>
            </w:r>
          </w:p>
        </w:tc>
      </w:tr>
    </w:tbl>
    <w:p w:rsidR="00AC7901" w:rsidRDefault="007B6ECA">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8B"/>
    <w:rsid w:val="006C5A08"/>
    <w:rsid w:val="00720D8B"/>
    <w:rsid w:val="007B6ECA"/>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2015-03-19T04:29:00Z</dcterms:created>
  <dcterms:modified xsi:type="dcterms:W3CDTF">2015-03-19T04:30:00Z</dcterms:modified>
</cp:coreProperties>
</file>